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CB63F1C" w:rsidR="00E66558" w:rsidRDefault="009D71E8" w:rsidP="4F47708F">
      <w:pPr>
        <w:pStyle w:val="Heading1"/>
        <w:rPr>
          <w:rFonts w:ascii="Century Gothic" w:eastAsia="Century Gothic" w:hAnsi="Century Gothic" w:cs="Century Gothic"/>
          <w:color w:val="036308"/>
          <w:sz w:val="32"/>
          <w:szCs w:val="32"/>
        </w:rPr>
      </w:pPr>
      <w:bookmarkStart w:id="0" w:name="_Toc400361362"/>
      <w:bookmarkStart w:id="1" w:name="_Toc443397153"/>
      <w:bookmarkStart w:id="2" w:name="_Toc357771638"/>
      <w:bookmarkStart w:id="3" w:name="_Toc346793416"/>
      <w:bookmarkStart w:id="4" w:name="_Toc328122777"/>
      <w:r w:rsidRPr="4F47708F">
        <w:rPr>
          <w:rFonts w:ascii="Century Gothic" w:eastAsia="Century Gothic" w:hAnsi="Century Gothic" w:cs="Century Gothic"/>
          <w:color w:val="036308"/>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4F47708F">
        <w:rPr>
          <w:rFonts w:ascii="Century Gothic" w:eastAsia="Century Gothic" w:hAnsi="Century Gothic" w:cs="Century Gothic"/>
          <w:color w:val="036308"/>
          <w:sz w:val="32"/>
          <w:szCs w:val="32"/>
        </w:rPr>
        <w:t xml:space="preserve"> – </w:t>
      </w:r>
      <w:r w:rsidR="008F1035" w:rsidRPr="4F47708F">
        <w:rPr>
          <w:rFonts w:ascii="Century Gothic" w:eastAsia="Century Gothic" w:hAnsi="Century Gothic" w:cs="Century Gothic"/>
          <w:color w:val="036308"/>
          <w:sz w:val="32"/>
          <w:szCs w:val="32"/>
        </w:rPr>
        <w:t>Greenwood School</w:t>
      </w:r>
    </w:p>
    <w:p w14:paraId="2A7D54B2" w14:textId="3EE41438" w:rsidR="00E66558" w:rsidRDefault="009D71E8" w:rsidP="4F47708F">
      <w:pPr>
        <w:rPr>
          <w:rFonts w:ascii="Century Gothic" w:eastAsia="Century Gothic" w:hAnsi="Century Gothic" w:cs="Century Gothic"/>
          <w:b/>
          <w:bCs/>
          <w:sz w:val="22"/>
          <w:szCs w:val="22"/>
        </w:rPr>
      </w:pPr>
      <w:r w:rsidRPr="4F47708F">
        <w:rPr>
          <w:rFonts w:ascii="Century Gothic" w:eastAsia="Century Gothic" w:hAnsi="Century Gothic" w:cs="Century Gothic"/>
          <w:sz w:val="22"/>
          <w:szCs w:val="22"/>
        </w:rPr>
        <w:t xml:space="preserve">This statement details our school’s use of pupil premium (and recovery premium) funding to help improve the attainment of our disadvantaged pupils. </w:t>
      </w:r>
    </w:p>
    <w:p w14:paraId="2A7D54B3" w14:textId="730F2E71" w:rsidR="00E66558" w:rsidRDefault="009D71E8" w:rsidP="4F47708F">
      <w:pPr>
        <w:rPr>
          <w:rFonts w:ascii="Century Gothic" w:eastAsia="Century Gothic" w:hAnsi="Century Gothic" w:cs="Century Gothic"/>
          <w:b/>
          <w:bCs/>
          <w:sz w:val="22"/>
          <w:szCs w:val="22"/>
        </w:rPr>
      </w:pPr>
      <w:r w:rsidRPr="4F47708F">
        <w:rPr>
          <w:rFonts w:ascii="Century Gothic" w:eastAsia="Century Gothic" w:hAnsi="Century Gothic" w:cs="Century Gothic"/>
          <w:sz w:val="22"/>
          <w:szCs w:val="22"/>
        </w:rPr>
        <w:t xml:space="preserve">It outlines our pupil premium strategy, how we intend to spend the funding in this academic year and the </w:t>
      </w:r>
      <w:r w:rsidR="00830D57" w:rsidRPr="4F47708F">
        <w:rPr>
          <w:rFonts w:ascii="Century Gothic" w:eastAsia="Century Gothic" w:hAnsi="Century Gothic" w:cs="Century Gothic"/>
          <w:sz w:val="22"/>
          <w:szCs w:val="22"/>
        </w:rPr>
        <w:t xml:space="preserve">outcomes </w:t>
      </w:r>
      <w:r w:rsidR="00A44FBB" w:rsidRPr="4F47708F">
        <w:rPr>
          <w:rFonts w:ascii="Century Gothic" w:eastAsia="Century Gothic" w:hAnsi="Century Gothic" w:cs="Century Gothic"/>
          <w:sz w:val="22"/>
          <w:szCs w:val="22"/>
        </w:rPr>
        <w:t>for disadvantaged pupils</w:t>
      </w:r>
      <w:r w:rsidRPr="4F47708F">
        <w:rPr>
          <w:rFonts w:ascii="Century Gothic" w:eastAsia="Century Gothic" w:hAnsi="Century Gothic" w:cs="Century Gothic"/>
          <w:sz w:val="22"/>
          <w:szCs w:val="22"/>
        </w:rPr>
        <w:t xml:space="preserve"> last </w:t>
      </w:r>
      <w:r w:rsidR="00A44FBB" w:rsidRPr="4F47708F">
        <w:rPr>
          <w:rFonts w:ascii="Century Gothic" w:eastAsia="Century Gothic" w:hAnsi="Century Gothic" w:cs="Century Gothic"/>
          <w:sz w:val="22"/>
          <w:szCs w:val="22"/>
        </w:rPr>
        <w:t xml:space="preserve">academic </w:t>
      </w:r>
      <w:r w:rsidRPr="4F47708F">
        <w:rPr>
          <w:rFonts w:ascii="Century Gothic" w:eastAsia="Century Gothic" w:hAnsi="Century Gothic" w:cs="Century Gothic"/>
          <w:sz w:val="22"/>
          <w:szCs w:val="22"/>
        </w:rPr>
        <w:t>year</w:t>
      </w:r>
      <w:r w:rsidR="00A44FBB" w:rsidRPr="4F47708F">
        <w:rPr>
          <w:rFonts w:ascii="Century Gothic" w:eastAsia="Century Gothic" w:hAnsi="Century Gothic" w:cs="Century Gothic"/>
          <w:sz w:val="22"/>
          <w:szCs w:val="22"/>
        </w:rPr>
        <w:t>.</w:t>
      </w:r>
    </w:p>
    <w:p w14:paraId="2A7D54B4" w14:textId="2CAB096C" w:rsidR="00E66558" w:rsidRDefault="009D71E8" w:rsidP="1CD8E600">
      <w:pPr>
        <w:pStyle w:val="Heading2"/>
        <w:rPr>
          <w:rFonts w:ascii="Century Gothic" w:eastAsia="Century Gothic" w:hAnsi="Century Gothic" w:cs="Century Gothic"/>
          <w:color w:val="036308"/>
        </w:rPr>
      </w:pPr>
      <w:r w:rsidRPr="1CD8E600">
        <w:rPr>
          <w:rFonts w:ascii="Century Gothic" w:eastAsia="Century Gothic" w:hAnsi="Century Gothic" w:cs="Century Gothic"/>
          <w:color w:val="036308"/>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4B5"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4B6"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Data</w:t>
            </w:r>
          </w:p>
        </w:tc>
      </w:tr>
      <w:tr w:rsidR="002940F3" w14:paraId="2A7D54BA"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C9726E8" w:rsidR="002940F3" w:rsidRDefault="4B0077D3" w:rsidP="1CD8E600">
            <w:pPr>
              <w:pStyle w:val="TableRow"/>
              <w:rPr>
                <w:rFonts w:ascii="Century Gothic" w:eastAsia="Century Gothic" w:hAnsi="Century Gothic" w:cs="Century Gothic"/>
              </w:rPr>
            </w:pPr>
            <w:r w:rsidRPr="4F47708F">
              <w:rPr>
                <w:rFonts w:ascii="Century Gothic" w:eastAsia="Century Gothic" w:hAnsi="Century Gothic" w:cs="Century Gothic"/>
              </w:rPr>
              <w:t>4</w:t>
            </w:r>
            <w:r w:rsidR="7652578C" w:rsidRPr="4F47708F">
              <w:rPr>
                <w:rFonts w:ascii="Century Gothic" w:eastAsia="Century Gothic" w:hAnsi="Century Gothic" w:cs="Century Gothic"/>
              </w:rPr>
              <w:t>7</w:t>
            </w:r>
            <w:r w:rsidR="460BBDE3" w:rsidRPr="4F47708F">
              <w:rPr>
                <w:rFonts w:ascii="Century Gothic" w:eastAsia="Century Gothic" w:hAnsi="Century Gothic" w:cs="Century Gothic"/>
              </w:rPr>
              <w:t xml:space="preserve"> (Dec 2</w:t>
            </w:r>
            <w:r w:rsidR="59B41BB5" w:rsidRPr="4F47708F">
              <w:rPr>
                <w:rFonts w:ascii="Century Gothic" w:eastAsia="Century Gothic" w:hAnsi="Century Gothic" w:cs="Century Gothic"/>
              </w:rPr>
              <w:t>5</w:t>
            </w:r>
            <w:r w:rsidR="460BBDE3" w:rsidRPr="4F47708F">
              <w:rPr>
                <w:rFonts w:ascii="Century Gothic" w:eastAsia="Century Gothic" w:hAnsi="Century Gothic" w:cs="Century Gothic"/>
              </w:rPr>
              <w:t>)</w:t>
            </w:r>
          </w:p>
        </w:tc>
      </w:tr>
      <w:tr w:rsidR="002940F3" w14:paraId="2A7D54BD"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73C87A3" w:rsidR="002940F3" w:rsidRDefault="39310799" w:rsidP="1CD8E600">
            <w:pPr>
              <w:pStyle w:val="TableRow"/>
              <w:rPr>
                <w:rFonts w:ascii="Century Gothic" w:eastAsia="Century Gothic" w:hAnsi="Century Gothic" w:cs="Century Gothic"/>
              </w:rPr>
            </w:pPr>
            <w:r w:rsidRPr="43F0618A">
              <w:rPr>
                <w:rFonts w:ascii="Century Gothic" w:eastAsia="Century Gothic" w:hAnsi="Century Gothic" w:cs="Century Gothic"/>
              </w:rPr>
              <w:t>42.6% (20 students)</w:t>
            </w:r>
          </w:p>
        </w:tc>
      </w:tr>
      <w:tr w:rsidR="002940F3" w14:paraId="2A7D54C0"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7D5A8D3" w:rsidR="002940F3" w:rsidRDefault="68D82AD6" w:rsidP="43F0618A">
            <w:pPr>
              <w:pStyle w:val="TableRow"/>
              <w:rPr>
                <w:rFonts w:ascii="Century Gothic" w:eastAsia="Century Gothic" w:hAnsi="Century Gothic" w:cs="Century Gothic"/>
                <w:color w:val="0D0D0D" w:themeColor="text1" w:themeTint="F2"/>
              </w:rPr>
            </w:pPr>
            <w:r w:rsidRPr="43F0618A">
              <w:rPr>
                <w:rFonts w:ascii="Century Gothic" w:eastAsia="Century Gothic" w:hAnsi="Century Gothic" w:cs="Century Gothic"/>
                <w:color w:val="0D0D0D" w:themeColor="text1" w:themeTint="F2"/>
              </w:rP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A9A7067" w:rsidR="002940F3" w:rsidRDefault="4AFEBC23" w:rsidP="1CD8E600">
            <w:pPr>
              <w:pStyle w:val="TableRow"/>
              <w:rPr>
                <w:rFonts w:ascii="Century Gothic" w:eastAsia="Century Gothic" w:hAnsi="Century Gothic" w:cs="Century Gothic"/>
              </w:rPr>
            </w:pPr>
            <w:r w:rsidRPr="4F47708F">
              <w:rPr>
                <w:rFonts w:ascii="Century Gothic" w:eastAsia="Century Gothic" w:hAnsi="Century Gothic" w:cs="Century Gothic"/>
              </w:rPr>
              <w:t>20</w:t>
            </w:r>
            <w:r w:rsidR="2C39C198" w:rsidRPr="4F47708F">
              <w:rPr>
                <w:rFonts w:ascii="Century Gothic" w:eastAsia="Century Gothic" w:hAnsi="Century Gothic" w:cs="Century Gothic"/>
              </w:rPr>
              <w:t xml:space="preserve">25 </w:t>
            </w:r>
            <w:r w:rsidRPr="4F47708F">
              <w:rPr>
                <w:rFonts w:ascii="Century Gothic" w:eastAsia="Century Gothic" w:hAnsi="Century Gothic" w:cs="Century Gothic"/>
              </w:rPr>
              <w:t>-</w:t>
            </w:r>
            <w:r w:rsidR="0AE36C04" w:rsidRPr="4F47708F">
              <w:rPr>
                <w:rFonts w:ascii="Century Gothic" w:eastAsia="Century Gothic" w:hAnsi="Century Gothic" w:cs="Century Gothic"/>
              </w:rPr>
              <w:t xml:space="preserve"> </w:t>
            </w:r>
            <w:r w:rsidRPr="4F47708F">
              <w:rPr>
                <w:rFonts w:ascii="Century Gothic" w:eastAsia="Century Gothic" w:hAnsi="Century Gothic" w:cs="Century Gothic"/>
              </w:rPr>
              <w:t>202</w:t>
            </w:r>
            <w:r w:rsidR="1FAB189A" w:rsidRPr="4F47708F">
              <w:rPr>
                <w:rFonts w:ascii="Century Gothic" w:eastAsia="Century Gothic" w:hAnsi="Century Gothic" w:cs="Century Gothic"/>
              </w:rPr>
              <w:t>8</w:t>
            </w:r>
          </w:p>
        </w:tc>
      </w:tr>
      <w:tr w:rsidR="002940F3" w14:paraId="2A7D54C3"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507AC36" w:rsidR="002940F3" w:rsidRDefault="4AFEBC23" w:rsidP="1CD8E600">
            <w:pPr>
              <w:pStyle w:val="TableRow"/>
              <w:rPr>
                <w:rFonts w:ascii="Century Gothic" w:eastAsia="Century Gothic" w:hAnsi="Century Gothic" w:cs="Century Gothic"/>
              </w:rPr>
            </w:pPr>
            <w:r w:rsidRPr="4F47708F">
              <w:rPr>
                <w:rFonts w:ascii="Century Gothic" w:eastAsia="Century Gothic" w:hAnsi="Century Gothic" w:cs="Century Gothic"/>
              </w:rPr>
              <w:t>December 202</w:t>
            </w:r>
            <w:r w:rsidR="73E88847" w:rsidRPr="4F47708F">
              <w:rPr>
                <w:rFonts w:ascii="Century Gothic" w:eastAsia="Century Gothic" w:hAnsi="Century Gothic" w:cs="Century Gothic"/>
              </w:rPr>
              <w:t>5</w:t>
            </w:r>
          </w:p>
        </w:tc>
      </w:tr>
      <w:tr w:rsidR="002940F3" w14:paraId="2A7D54C6"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59AF72F" w:rsidR="002940F3" w:rsidRDefault="356A6B83" w:rsidP="1CD8E600">
            <w:pPr>
              <w:pStyle w:val="TableRow"/>
              <w:rPr>
                <w:rFonts w:ascii="Century Gothic" w:eastAsia="Century Gothic" w:hAnsi="Century Gothic" w:cs="Century Gothic"/>
              </w:rPr>
            </w:pPr>
            <w:r w:rsidRPr="57E914DD">
              <w:rPr>
                <w:rFonts w:ascii="Century Gothic" w:eastAsia="Century Gothic" w:hAnsi="Century Gothic" w:cs="Century Gothic"/>
              </w:rPr>
              <w:t xml:space="preserve">September </w:t>
            </w:r>
            <w:r w:rsidR="0AE80328" w:rsidRPr="57E914DD">
              <w:rPr>
                <w:rFonts w:ascii="Century Gothic" w:eastAsia="Century Gothic" w:hAnsi="Century Gothic" w:cs="Century Gothic"/>
              </w:rPr>
              <w:t>202</w:t>
            </w:r>
            <w:r w:rsidR="23581650" w:rsidRPr="57E914DD">
              <w:rPr>
                <w:rFonts w:ascii="Century Gothic" w:eastAsia="Century Gothic" w:hAnsi="Century Gothic" w:cs="Century Gothic"/>
              </w:rPr>
              <w:t>6</w:t>
            </w:r>
          </w:p>
        </w:tc>
      </w:tr>
      <w:tr w:rsidR="002940F3" w14:paraId="2A7D54C9"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CDFA" w14:textId="77777777" w:rsidR="002940F3" w:rsidRDefault="001B2294" w:rsidP="1CD8E600">
            <w:pPr>
              <w:pStyle w:val="TableRow"/>
              <w:rPr>
                <w:rFonts w:ascii="Century Gothic" w:eastAsia="Century Gothic" w:hAnsi="Century Gothic" w:cs="Century Gothic"/>
              </w:rPr>
            </w:pPr>
            <w:r w:rsidRPr="1CD8E600">
              <w:rPr>
                <w:rFonts w:ascii="Century Gothic" w:eastAsia="Century Gothic" w:hAnsi="Century Gothic" w:cs="Century Gothic"/>
              </w:rPr>
              <w:t>Vicky Essex</w:t>
            </w:r>
          </w:p>
          <w:p w14:paraId="2A7D54C8" w14:textId="09A409D1" w:rsidR="001B2294" w:rsidRDefault="001B2294" w:rsidP="1CD8E600">
            <w:pPr>
              <w:pStyle w:val="TableRow"/>
              <w:rPr>
                <w:rFonts w:ascii="Century Gothic" w:eastAsia="Century Gothic" w:hAnsi="Century Gothic" w:cs="Century Gothic"/>
              </w:rPr>
            </w:pPr>
            <w:r w:rsidRPr="1CD8E600">
              <w:rPr>
                <w:rFonts w:ascii="Century Gothic" w:eastAsia="Century Gothic" w:hAnsi="Century Gothic" w:cs="Century Gothic"/>
              </w:rPr>
              <w:t>Headteacher</w:t>
            </w:r>
          </w:p>
        </w:tc>
      </w:tr>
      <w:tr w:rsidR="002940F3" w14:paraId="2A7D54CC"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3243" w14:textId="22A5EE43" w:rsidR="1B1BAE68" w:rsidRDefault="1B1BAE68" w:rsidP="1CD8E600">
            <w:pPr>
              <w:pStyle w:val="TableRow"/>
              <w:spacing w:line="259" w:lineRule="auto"/>
              <w:rPr>
                <w:rFonts w:ascii="Century Gothic" w:eastAsia="Century Gothic" w:hAnsi="Century Gothic" w:cs="Century Gothic"/>
              </w:rPr>
            </w:pPr>
            <w:r w:rsidRPr="1CD8E600">
              <w:rPr>
                <w:rFonts w:ascii="Century Gothic" w:eastAsia="Century Gothic" w:hAnsi="Century Gothic" w:cs="Century Gothic"/>
              </w:rPr>
              <w:t>Carley Huxham</w:t>
            </w:r>
          </w:p>
          <w:p w14:paraId="2A7D54CB" w14:textId="0459EE66" w:rsidR="001B2294" w:rsidRDefault="001B2294" w:rsidP="1CD8E600">
            <w:pPr>
              <w:pStyle w:val="TableRow"/>
              <w:rPr>
                <w:rFonts w:ascii="Century Gothic" w:eastAsia="Century Gothic" w:hAnsi="Century Gothic" w:cs="Century Gothic"/>
              </w:rPr>
            </w:pPr>
            <w:r w:rsidRPr="1CD8E600">
              <w:rPr>
                <w:rFonts w:ascii="Century Gothic" w:eastAsia="Century Gothic" w:hAnsi="Century Gothic" w:cs="Century Gothic"/>
              </w:rPr>
              <w:t>Assistant Headteacher</w:t>
            </w:r>
          </w:p>
        </w:tc>
      </w:tr>
      <w:tr w:rsidR="002940F3" w14:paraId="2A7D54CF" w14:textId="77777777" w:rsidTr="43F0618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1CD8E600">
            <w:pPr>
              <w:pStyle w:val="TableRow"/>
              <w:rPr>
                <w:rFonts w:ascii="Century Gothic" w:eastAsia="Century Gothic" w:hAnsi="Century Gothic" w:cs="Century Gothic"/>
              </w:rPr>
            </w:pPr>
            <w:r w:rsidRPr="1CD8E600">
              <w:rPr>
                <w:rFonts w:ascii="Century Gothic" w:eastAsia="Century Gothic" w:hAnsi="Century Gothic" w:cs="Century Gothic"/>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7777777" w:rsidR="002940F3" w:rsidRDefault="002940F3" w:rsidP="1CD8E600">
            <w:pPr>
              <w:pStyle w:val="TableRow"/>
              <w:rPr>
                <w:rFonts w:ascii="Century Gothic" w:eastAsia="Century Gothic" w:hAnsi="Century Gothic" w:cs="Century Gothic"/>
              </w:rPr>
            </w:pPr>
          </w:p>
        </w:tc>
      </w:tr>
    </w:tbl>
    <w:bookmarkEnd w:id="2"/>
    <w:bookmarkEnd w:id="3"/>
    <w:bookmarkEnd w:id="4"/>
    <w:p w14:paraId="2A7D54D3" w14:textId="77777777" w:rsidR="00E66558" w:rsidRPr="005464A1" w:rsidRDefault="009D71E8" w:rsidP="1CD8E600">
      <w:pPr>
        <w:pStyle w:val="Heading2"/>
        <w:rPr>
          <w:rFonts w:ascii="Century Gothic" w:eastAsia="Century Gothic" w:hAnsi="Century Gothic" w:cs="Century Gothic"/>
          <w:color w:val="036308"/>
        </w:rPr>
      </w:pPr>
      <w:r w:rsidRPr="1CD8E600">
        <w:rPr>
          <w:rFonts w:ascii="Century Gothic" w:eastAsia="Century Gothic" w:hAnsi="Century Gothic" w:cs="Century Gothic"/>
          <w:color w:val="03630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57E914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vAlign w:val="center"/>
          </w:tcPr>
          <w:p w14:paraId="2A7D54D4" w14:textId="77777777" w:rsidR="00E66558" w:rsidRDefault="009D71E8"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vAlign w:val="center"/>
          </w:tcPr>
          <w:p w14:paraId="2A7D54D5" w14:textId="77777777" w:rsidR="00E66558" w:rsidRDefault="009D71E8"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Amount</w:t>
            </w:r>
          </w:p>
        </w:tc>
      </w:tr>
      <w:tr w:rsidR="00E66558" w14:paraId="2A7D54D9" w14:textId="77777777" w:rsidTr="57E914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59351756" w:rsidR="00E66558" w:rsidRDefault="009D71E8" w:rsidP="1CD8E600">
            <w:pPr>
              <w:pStyle w:val="TableRow"/>
              <w:rPr>
                <w:rFonts w:ascii="Century Gothic" w:eastAsia="Century Gothic" w:hAnsi="Century Gothic" w:cs="Century Gothic"/>
              </w:rPr>
            </w:pPr>
            <w:r w:rsidRPr="4F47708F">
              <w:rPr>
                <w:rFonts w:ascii="Century Gothic" w:eastAsia="Century Gothic" w:hAnsi="Century Gothic" w:cs="Century Gothic"/>
              </w:rPr>
              <w:t>Pupil premium funding allocation this academic year</w:t>
            </w:r>
            <w:r w:rsidR="7700B7DB" w:rsidRPr="4F47708F">
              <w:rPr>
                <w:rFonts w:ascii="Century Gothic" w:eastAsia="Century Gothic" w:hAnsi="Century Gothic" w:cs="Century Gothic"/>
              </w:rPr>
              <w:t xml:space="preserve"> (2025-2026)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E21CD" w14:textId="5996E62B" w:rsidR="00E66558" w:rsidRDefault="04202C6D" w:rsidP="1CD8E600">
            <w:pPr>
              <w:pStyle w:val="TableRow"/>
              <w:rPr>
                <w:rFonts w:ascii="Century Gothic" w:eastAsia="Century Gothic" w:hAnsi="Century Gothic" w:cs="Century Gothic"/>
                <w:highlight w:val="yellow"/>
              </w:rPr>
            </w:pPr>
            <w:r w:rsidRPr="1CD8E600">
              <w:rPr>
                <w:rFonts w:ascii="Century Gothic" w:eastAsia="Century Gothic" w:hAnsi="Century Gothic" w:cs="Century Gothic"/>
              </w:rPr>
              <w:t>Dependent of transient intake over the year due to the setting providing short term placements.</w:t>
            </w:r>
          </w:p>
          <w:p w14:paraId="3FB036E6" w14:textId="550EF143" w:rsidR="00E66558" w:rsidRDefault="04202C6D" w:rsidP="1CD8E600">
            <w:pPr>
              <w:pStyle w:val="TableRow"/>
              <w:rPr>
                <w:rFonts w:ascii="Century Gothic" w:eastAsia="Century Gothic" w:hAnsi="Century Gothic" w:cs="Century Gothic"/>
                <w:highlight w:val="yellow"/>
              </w:rPr>
            </w:pPr>
            <w:r w:rsidRPr="1CD8E600">
              <w:rPr>
                <w:rFonts w:ascii="Century Gothic" w:eastAsia="Century Gothic" w:hAnsi="Century Gothic" w:cs="Century Gothic"/>
              </w:rPr>
              <w:t xml:space="preserve"> </w:t>
            </w:r>
          </w:p>
          <w:p w14:paraId="2A7D54D8" w14:textId="7F4D49E7" w:rsidR="00E66558" w:rsidRDefault="41D6E7D8" w:rsidP="1CD8E600">
            <w:pPr>
              <w:pStyle w:val="TableRow"/>
              <w:rPr>
                <w:rFonts w:ascii="Century Gothic" w:eastAsia="Century Gothic" w:hAnsi="Century Gothic" w:cs="Century Gothic"/>
                <w:highlight w:val="yellow"/>
              </w:rPr>
            </w:pPr>
            <w:r w:rsidRPr="57E914DD">
              <w:rPr>
                <w:rFonts w:ascii="Century Gothic" w:eastAsia="Century Gothic" w:hAnsi="Century Gothic" w:cs="Century Gothic"/>
                <w:b/>
                <w:bCs/>
              </w:rPr>
              <w:t>Estimate:</w:t>
            </w:r>
            <w:r w:rsidRPr="57E914DD">
              <w:rPr>
                <w:rFonts w:ascii="Century Gothic" w:eastAsia="Century Gothic" w:hAnsi="Century Gothic" w:cs="Century Gothic"/>
              </w:rPr>
              <w:t xml:space="preserve"> </w:t>
            </w:r>
            <w:r w:rsidR="05455856" w:rsidRPr="57E914DD">
              <w:rPr>
                <w:rFonts w:ascii="Century Gothic" w:eastAsia="Century Gothic" w:hAnsi="Century Gothic" w:cs="Century Gothic"/>
              </w:rPr>
              <w:t>£</w:t>
            </w:r>
            <w:r w:rsidR="282F5DBA" w:rsidRPr="57E914DD">
              <w:rPr>
                <w:rFonts w:ascii="Century Gothic" w:eastAsia="Century Gothic" w:hAnsi="Century Gothic" w:cs="Century Gothic"/>
              </w:rPr>
              <w:t>20,000</w:t>
            </w:r>
          </w:p>
        </w:tc>
      </w:tr>
      <w:tr w:rsidR="00E66558" w14:paraId="2A7D54DF" w14:textId="77777777" w:rsidTr="57E914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B4CFA" w14:textId="7B391FED" w:rsidR="00E66558" w:rsidRDefault="1421AE7A" w:rsidP="57E914DD">
            <w:pPr>
              <w:pStyle w:val="TableRow"/>
              <w:spacing w:after="120"/>
              <w:rPr>
                <w:rFonts w:ascii="Century Gothic" w:eastAsia="Century Gothic" w:hAnsi="Century Gothic" w:cs="Century Gothic"/>
                <w:i/>
                <w:iCs/>
              </w:rPr>
            </w:pPr>
            <w:r w:rsidRPr="57E914DD">
              <w:rPr>
                <w:rFonts w:ascii="Century Gothic" w:eastAsia="Century Gothic" w:hAnsi="Century Gothic" w:cs="Century Gothic"/>
              </w:rPr>
              <w:t>Pupil premium</w:t>
            </w:r>
            <w:r w:rsidR="0FE84ACF" w:rsidRPr="57E914DD">
              <w:rPr>
                <w:rFonts w:ascii="Century Gothic" w:eastAsia="Century Gothic" w:hAnsi="Century Gothic" w:cs="Century Gothic"/>
              </w:rPr>
              <w:t xml:space="preserve"> </w:t>
            </w:r>
            <w:r w:rsidRPr="57E914DD">
              <w:rPr>
                <w:rFonts w:ascii="Century Gothic" w:eastAsia="Century Gothic" w:hAnsi="Century Gothic" w:cs="Century Gothic"/>
              </w:rPr>
              <w:t xml:space="preserve">funding carried forward from previous years </w:t>
            </w:r>
            <w:r w:rsidRPr="57E914DD">
              <w:rPr>
                <w:rFonts w:ascii="Century Gothic" w:eastAsia="Century Gothic" w:hAnsi="Century Gothic" w:cs="Century Gothic"/>
                <w:i/>
                <w:iCs/>
              </w:rPr>
              <w:t>(enter £0 if not applicable)</w:t>
            </w:r>
          </w:p>
          <w:p w14:paraId="2A7D54DD" w14:textId="31C3B863" w:rsidR="001E206F" w:rsidRPr="00586FBC" w:rsidRDefault="001E206F" w:rsidP="4F47708F">
            <w:pPr>
              <w:pStyle w:val="TableRow"/>
              <w:rPr>
                <w:rFonts w:ascii="Century Gothic" w:eastAsia="Century Gothic" w:hAnsi="Century Gothic" w:cs="Century Gothic"/>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FEE2795" w:rsidR="00E66558" w:rsidRDefault="009D71E8" w:rsidP="1CD8E600">
            <w:pPr>
              <w:pStyle w:val="TableRow"/>
              <w:rPr>
                <w:rFonts w:ascii="Century Gothic" w:eastAsia="Century Gothic" w:hAnsi="Century Gothic" w:cs="Century Gothic"/>
              </w:rPr>
            </w:pPr>
            <w:r w:rsidRPr="1CD8E600">
              <w:rPr>
                <w:rFonts w:ascii="Century Gothic" w:eastAsia="Century Gothic" w:hAnsi="Century Gothic" w:cs="Century Gothic"/>
              </w:rPr>
              <w:t>£</w:t>
            </w:r>
            <w:r w:rsidR="001B2294" w:rsidRPr="1CD8E600">
              <w:rPr>
                <w:rFonts w:ascii="Century Gothic" w:eastAsia="Century Gothic" w:hAnsi="Century Gothic" w:cs="Century Gothic"/>
              </w:rPr>
              <w:t>0</w:t>
            </w:r>
          </w:p>
        </w:tc>
      </w:tr>
      <w:tr w:rsidR="00E66558" w14:paraId="2A7D54E3" w14:textId="77777777" w:rsidTr="57E914D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531FE9AF" w:rsidR="00E66558" w:rsidRDefault="009D71E8" w:rsidP="1CD8E600">
            <w:pPr>
              <w:pStyle w:val="TableRow"/>
              <w:spacing w:after="120"/>
              <w:rPr>
                <w:rFonts w:ascii="Century Gothic" w:eastAsia="Century Gothic" w:hAnsi="Century Gothic" w:cs="Century Gothic"/>
                <w:b/>
                <w:bCs/>
              </w:rPr>
            </w:pPr>
            <w:r w:rsidRPr="4F47708F">
              <w:rPr>
                <w:rFonts w:ascii="Century Gothic" w:eastAsia="Century Gothic" w:hAnsi="Century Gothic" w:cs="Century Gothic"/>
                <w:b/>
                <w:bCs/>
              </w:rPr>
              <w:t>Total budget for this academic year</w:t>
            </w:r>
            <w:r w:rsidR="4779E865" w:rsidRPr="4F47708F">
              <w:rPr>
                <w:rFonts w:ascii="Century Gothic" w:eastAsia="Century Gothic" w:hAnsi="Century Gothic" w:cs="Century Gothic"/>
                <w:b/>
                <w:bCs/>
              </w:rPr>
              <w:t xml:space="preserve"> (2025-2026)</w:t>
            </w:r>
          </w:p>
          <w:p w14:paraId="2A7D54E1" w14:textId="77777777" w:rsidR="00E66558" w:rsidRPr="003C4388" w:rsidRDefault="009D71E8" w:rsidP="1CD8E600">
            <w:pPr>
              <w:pStyle w:val="TableRow"/>
              <w:rPr>
                <w:rFonts w:ascii="Century Gothic" w:eastAsia="Century Gothic" w:hAnsi="Century Gothic" w:cs="Century Gothic"/>
                <w:i/>
                <w:iCs/>
              </w:rPr>
            </w:pPr>
            <w:r w:rsidRPr="1CD8E600">
              <w:rPr>
                <w:rFonts w:ascii="Century Gothic" w:eastAsia="Century Gothic" w:hAnsi="Century Gothic" w:cs="Century Gothic"/>
                <w:i/>
                <w:iCs/>
              </w:rPr>
              <w:lastRenderedPageBreak/>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E4B" w14:textId="5996E62B" w:rsidR="21DF2271" w:rsidRDefault="580E6FB6" w:rsidP="1CD8E600">
            <w:pPr>
              <w:pStyle w:val="TableRow"/>
              <w:rPr>
                <w:rFonts w:ascii="Century Gothic" w:eastAsia="Century Gothic" w:hAnsi="Century Gothic" w:cs="Century Gothic"/>
                <w:highlight w:val="yellow"/>
              </w:rPr>
            </w:pPr>
            <w:r w:rsidRPr="1CD8E600">
              <w:rPr>
                <w:rFonts w:ascii="Century Gothic" w:eastAsia="Century Gothic" w:hAnsi="Century Gothic" w:cs="Century Gothic"/>
              </w:rPr>
              <w:lastRenderedPageBreak/>
              <w:t xml:space="preserve">Dependent of transient intake over </w:t>
            </w:r>
            <w:r w:rsidRPr="1CD8E600">
              <w:rPr>
                <w:rFonts w:ascii="Century Gothic" w:eastAsia="Century Gothic" w:hAnsi="Century Gothic" w:cs="Century Gothic"/>
              </w:rPr>
              <w:lastRenderedPageBreak/>
              <w:t>the year due to the setting providing short term placements.</w:t>
            </w:r>
          </w:p>
          <w:p w14:paraId="167426C7" w14:textId="74843EDF" w:rsidR="376A56F3" w:rsidRDefault="376A56F3" w:rsidP="1CD8E600">
            <w:pPr>
              <w:pStyle w:val="TableRow"/>
              <w:rPr>
                <w:rFonts w:ascii="Century Gothic" w:eastAsia="Century Gothic" w:hAnsi="Century Gothic" w:cs="Century Gothic"/>
                <w:highlight w:val="yellow"/>
              </w:rPr>
            </w:pPr>
          </w:p>
          <w:p w14:paraId="2A7D54E2" w14:textId="323FAB4F" w:rsidR="00E66558" w:rsidRDefault="7815D953" w:rsidP="57E914DD">
            <w:pPr>
              <w:pStyle w:val="TableRow"/>
              <w:rPr>
                <w:rFonts w:ascii="Century Gothic" w:eastAsia="Century Gothic" w:hAnsi="Century Gothic" w:cs="Century Gothic"/>
              </w:rPr>
            </w:pPr>
            <w:r w:rsidRPr="57E914DD">
              <w:rPr>
                <w:rFonts w:ascii="Century Gothic" w:eastAsia="Century Gothic" w:hAnsi="Century Gothic" w:cs="Century Gothic"/>
                <w:b/>
                <w:bCs/>
              </w:rPr>
              <w:t>Estimate:</w:t>
            </w:r>
            <w:r w:rsidRPr="57E914DD">
              <w:rPr>
                <w:rFonts w:ascii="Century Gothic" w:eastAsia="Century Gothic" w:hAnsi="Century Gothic" w:cs="Century Gothic"/>
              </w:rPr>
              <w:t xml:space="preserve"> </w:t>
            </w:r>
            <w:r w:rsidR="1421AE7A" w:rsidRPr="57E914DD">
              <w:rPr>
                <w:rFonts w:ascii="Century Gothic" w:eastAsia="Century Gothic" w:hAnsi="Century Gothic" w:cs="Century Gothic"/>
              </w:rPr>
              <w:t>£</w:t>
            </w:r>
            <w:r w:rsidR="3A528285" w:rsidRPr="57E914DD">
              <w:rPr>
                <w:rFonts w:ascii="Century Gothic" w:eastAsia="Century Gothic" w:hAnsi="Century Gothic" w:cs="Century Gothic"/>
              </w:rPr>
              <w:t>20,000</w:t>
            </w:r>
          </w:p>
        </w:tc>
      </w:tr>
    </w:tbl>
    <w:p w14:paraId="2A7D54E4" w14:textId="77777777" w:rsidR="00E66558" w:rsidRDefault="009D71E8" w:rsidP="1CD8E600">
      <w:pPr>
        <w:pStyle w:val="Heading1"/>
        <w:rPr>
          <w:rFonts w:ascii="Century Gothic" w:eastAsia="Century Gothic" w:hAnsi="Century Gothic" w:cs="Century Gothic"/>
          <w:color w:val="036308"/>
        </w:rPr>
      </w:pPr>
      <w:r w:rsidRPr="1CD8E600">
        <w:rPr>
          <w:rFonts w:ascii="Century Gothic" w:eastAsia="Century Gothic" w:hAnsi="Century Gothic" w:cs="Century Gothic"/>
          <w:color w:val="036308"/>
        </w:rPr>
        <w:lastRenderedPageBreak/>
        <w:t>Part A: Pupil premium strategy plan</w:t>
      </w:r>
    </w:p>
    <w:p w14:paraId="2A7D54E5" w14:textId="77777777" w:rsidR="00E66558" w:rsidRDefault="009D71E8" w:rsidP="1CD8E600">
      <w:pPr>
        <w:pStyle w:val="Heading2"/>
        <w:rPr>
          <w:rFonts w:ascii="Century Gothic" w:eastAsia="Century Gothic" w:hAnsi="Century Gothic" w:cs="Century Gothic"/>
          <w:color w:val="036308"/>
        </w:rPr>
      </w:pPr>
      <w:bookmarkStart w:id="14" w:name="_Toc357771640"/>
      <w:bookmarkStart w:id="15" w:name="_Toc346793418"/>
      <w:r w:rsidRPr="1CD8E600">
        <w:rPr>
          <w:rFonts w:ascii="Century Gothic" w:eastAsia="Century Gothic" w:hAnsi="Century Gothic" w:cs="Century Gothic"/>
          <w:color w:val="036308"/>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CD8E600">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9FF6" w14:textId="77777777" w:rsidR="00A04BCF" w:rsidRDefault="00A04BCF" w:rsidP="1CD8E600">
            <w:pPr>
              <w:rPr>
                <w:rFonts w:ascii="Century Gothic" w:eastAsia="Century Gothic" w:hAnsi="Century Gothic" w:cs="Century Gothic"/>
              </w:rPr>
            </w:pPr>
          </w:p>
          <w:p w14:paraId="70F7A2EE" w14:textId="0EC19960" w:rsid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 xml:space="preserve">Our intention is that all our students, irrespective of their background or the challenges they face, make good progress from their starting point on admission and receive the best possible preparation for independent adult life. </w:t>
            </w:r>
          </w:p>
          <w:p w14:paraId="13CB50F7" w14:textId="77777777" w:rsid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 xml:space="preserve">Our core purpose is to maximise the academic achievement of our students whilst addressing their individual social and emotional needs, often with the additional support of other external agencies. The focus of our pupil premium strategy is to support disadvantaged students to achieve this goal. </w:t>
            </w:r>
          </w:p>
          <w:p w14:paraId="32C0A543" w14:textId="59213A1A" w:rsid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 xml:space="preserve">At the heart of our approach is high-quality </w:t>
            </w:r>
            <w:r w:rsidR="571BC866" w:rsidRPr="1CD8E600">
              <w:rPr>
                <w:rFonts w:ascii="Century Gothic" w:eastAsia="Century Gothic" w:hAnsi="Century Gothic" w:cs="Century Gothic"/>
              </w:rPr>
              <w:t xml:space="preserve">inclusive </w:t>
            </w:r>
            <w:r w:rsidRPr="1CD8E600">
              <w:rPr>
                <w:rFonts w:ascii="Century Gothic" w:eastAsia="Century Gothic" w:hAnsi="Century Gothic" w:cs="Century Gothic"/>
              </w:rPr>
              <w:t xml:space="preserve">teaching focussed on areas that disadvantaged students require it most, together with targeted support based on robust diagnostic assessment of need. </w:t>
            </w:r>
          </w:p>
          <w:p w14:paraId="051E6518" w14:textId="77777777" w:rsid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 xml:space="preserve">Although our strategy is focused on the needs of disadvantaged students, it will benefit all students in our school where funding is spent on whole-school approaches, such as high-quality teaching. Implicit in the intended outcomes detailed below, is the intention that outcomes for non-disadvantaged students will be improved alongside progress for their disadvantaged peers. </w:t>
            </w:r>
          </w:p>
          <w:p w14:paraId="2DDE2002" w14:textId="77777777" w:rsid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 xml:space="preserve">We also provide disadvantaged students with support to develop independent life and social skills and continue to ensure that high-quality work experience, careers and further education guidance is available to all. </w:t>
            </w:r>
          </w:p>
          <w:p w14:paraId="2A7D54E9" w14:textId="76854D51" w:rsidR="00252B55" w:rsidRPr="001B2294" w:rsidRDefault="001B2294" w:rsidP="1CD8E600">
            <w:pPr>
              <w:rPr>
                <w:rFonts w:ascii="Century Gothic" w:eastAsia="Century Gothic" w:hAnsi="Century Gothic" w:cs="Century Gothic"/>
              </w:rPr>
            </w:pPr>
            <w:r w:rsidRPr="1CD8E600">
              <w:rPr>
                <w:rFonts w:ascii="Century Gothic" w:eastAsia="Century Gothic" w:hAnsi="Century Gothic" w:cs="Century Gothic"/>
              </w:rPr>
              <w:t>Our strategy will be driven by the needs and strengths of each young person, based on formal and informal assessments, including both academic and SEMH testing on admission. This will help us to ensure that we offer the relevant skills and experience required to prepare our students for independent adult life.</w:t>
            </w:r>
          </w:p>
        </w:tc>
      </w:tr>
    </w:tbl>
    <w:p w14:paraId="2A0B8EBB" w14:textId="246A2370" w:rsidR="00E66558" w:rsidRDefault="00E66558" w:rsidP="43F0618A">
      <w:pPr>
        <w:pStyle w:val="Heading2"/>
        <w:spacing w:before="600"/>
        <w:rPr>
          <w:rFonts w:ascii="Century Gothic" w:eastAsia="Century Gothic" w:hAnsi="Century Gothic" w:cs="Century Gothic"/>
          <w:color w:val="036308"/>
        </w:rPr>
      </w:pPr>
    </w:p>
    <w:p w14:paraId="659441E5" w14:textId="6B37A314" w:rsidR="00E66558" w:rsidRDefault="009D71E8" w:rsidP="43F0618A">
      <w:pPr>
        <w:spacing w:before="600"/>
      </w:pPr>
      <w:r>
        <w:br w:type="page"/>
      </w:r>
    </w:p>
    <w:p w14:paraId="2A7D54EB" w14:textId="2D851053" w:rsidR="00E66558" w:rsidRDefault="009D71E8" w:rsidP="1CD8E600">
      <w:pPr>
        <w:pStyle w:val="Heading2"/>
        <w:spacing w:before="600"/>
        <w:rPr>
          <w:rFonts w:ascii="Century Gothic" w:eastAsia="Century Gothic" w:hAnsi="Century Gothic" w:cs="Century Gothic"/>
          <w:color w:val="036308"/>
        </w:rPr>
      </w:pPr>
      <w:r w:rsidRPr="43F0618A">
        <w:rPr>
          <w:rFonts w:ascii="Century Gothic" w:eastAsia="Century Gothic" w:hAnsi="Century Gothic" w:cs="Century Gothic"/>
          <w:color w:val="036308"/>
        </w:rPr>
        <w:lastRenderedPageBreak/>
        <w:t>Challenges</w:t>
      </w:r>
    </w:p>
    <w:p w14:paraId="2A7D54EC" w14:textId="77777777" w:rsidR="00E66558" w:rsidRDefault="009D71E8" w:rsidP="1CD8E600">
      <w:pPr>
        <w:rPr>
          <w:rFonts w:ascii="Century Gothic" w:eastAsia="Century Gothic" w:hAnsi="Century Gothic" w:cs="Century Gothic"/>
        </w:rPr>
      </w:pPr>
      <w:r w:rsidRPr="1CD8E600">
        <w:rPr>
          <w:rFonts w:ascii="Century Gothic" w:eastAsia="Century Gothic" w:hAnsi="Century Gothic" w:cs="Century Gothic"/>
        </w:rPr>
        <w:t>This details the key challenges to achievement that we have identified among our disadvantaged pupils.</w:t>
      </w:r>
    </w:p>
    <w:tbl>
      <w:tblPr>
        <w:tblW w:w="9486" w:type="dxa"/>
        <w:tblCellMar>
          <w:left w:w="10" w:type="dxa"/>
          <w:right w:w="10" w:type="dxa"/>
        </w:tblCellMar>
        <w:tblLook w:val="04A0" w:firstRow="1" w:lastRow="0" w:firstColumn="1" w:lastColumn="0" w:noHBand="0" w:noVBand="1"/>
      </w:tblPr>
      <w:tblGrid>
        <w:gridCol w:w="1620"/>
        <w:gridCol w:w="7866"/>
      </w:tblGrid>
      <w:tr w:rsidR="00E66558" w14:paraId="2A7D54EF"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4ED"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Challenge number</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4EE"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 xml:space="preserve">Detail of challenge </w:t>
            </w:r>
          </w:p>
        </w:tc>
      </w:tr>
      <w:tr w:rsidR="00E66558" w14:paraId="2A7D54F2"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1CD8E600">
            <w:pPr>
              <w:pStyle w:val="TableRow"/>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71712" w14:textId="32AC583B" w:rsidR="7A783407" w:rsidRDefault="62141A7A" w:rsidP="1CD8E600">
            <w:pPr>
              <w:pStyle w:val="TableRowCentered"/>
              <w:jc w:val="left"/>
              <w:rPr>
                <w:rFonts w:ascii="Century Gothic" w:eastAsia="Century Gothic" w:hAnsi="Century Gothic" w:cs="Century Gothic"/>
                <w:b/>
                <w:bCs/>
              </w:rPr>
            </w:pPr>
            <w:r w:rsidRPr="1CD8E600">
              <w:rPr>
                <w:rFonts w:ascii="Century Gothic" w:eastAsia="Century Gothic" w:hAnsi="Century Gothic" w:cs="Century Gothic"/>
                <w:b/>
                <w:bCs/>
              </w:rPr>
              <w:t xml:space="preserve">Academic </w:t>
            </w:r>
            <w:r w:rsidR="55691B40" w:rsidRPr="1CD8E600">
              <w:rPr>
                <w:rFonts w:ascii="Century Gothic" w:eastAsia="Century Gothic" w:hAnsi="Century Gothic" w:cs="Century Gothic"/>
                <w:b/>
                <w:bCs/>
              </w:rPr>
              <w:t>Progress:</w:t>
            </w:r>
          </w:p>
          <w:p w14:paraId="2A7D54F1" w14:textId="790E4703" w:rsidR="00E66558" w:rsidRDefault="001B2294"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Our assessments show that disadvantaged students generally make less progress from their starting points when entering school. Whilst the types of barriers to learning and the difficulties disadvantaged students experience vary, their overall academic progress tends to be lower in most subjects compared to non-disadvantaged students. This trend is most recognisable in maths outcomes</w:t>
            </w:r>
            <w:r w:rsidR="4A9FE723" w:rsidRPr="1CD8E600">
              <w:rPr>
                <w:rFonts w:ascii="Century Gothic" w:eastAsia="Century Gothic" w:hAnsi="Century Gothic" w:cs="Century Gothic"/>
              </w:rPr>
              <w:t>.</w:t>
            </w:r>
          </w:p>
        </w:tc>
      </w:tr>
      <w:tr w:rsidR="00E66558" w14:paraId="2A7D54F5"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rsidP="1CD8E600">
            <w:pPr>
              <w:pStyle w:val="TableRow"/>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2</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3C8EA" w14:textId="3D2C214A" w:rsidR="55D628C5" w:rsidRDefault="0B6D37D0" w:rsidP="1CD8E600">
            <w:pPr>
              <w:pStyle w:val="TableRowCentered"/>
              <w:jc w:val="left"/>
              <w:rPr>
                <w:rFonts w:ascii="Century Gothic" w:eastAsia="Century Gothic" w:hAnsi="Century Gothic" w:cs="Century Gothic"/>
                <w:b/>
                <w:bCs/>
              </w:rPr>
            </w:pPr>
            <w:r w:rsidRPr="4F47708F">
              <w:rPr>
                <w:rFonts w:ascii="Century Gothic" w:eastAsia="Century Gothic" w:hAnsi="Century Gothic" w:cs="Century Gothic"/>
                <w:b/>
                <w:bCs/>
              </w:rPr>
              <w:t>Language</w:t>
            </w:r>
            <w:r w:rsidR="40723441" w:rsidRPr="4F47708F">
              <w:rPr>
                <w:rFonts w:ascii="Century Gothic" w:eastAsia="Century Gothic" w:hAnsi="Century Gothic" w:cs="Century Gothic"/>
                <w:b/>
                <w:bCs/>
              </w:rPr>
              <w:t xml:space="preserve"> and Reading</w:t>
            </w:r>
            <w:r w:rsidRPr="4F47708F">
              <w:rPr>
                <w:rFonts w:ascii="Century Gothic" w:eastAsia="Century Gothic" w:hAnsi="Century Gothic" w:cs="Century Gothic"/>
                <w:b/>
                <w:bCs/>
              </w:rPr>
              <w:t xml:space="preserve"> </w:t>
            </w:r>
            <w:r w:rsidR="79EC1740" w:rsidRPr="4F47708F">
              <w:rPr>
                <w:rFonts w:ascii="Century Gothic" w:eastAsia="Century Gothic" w:hAnsi="Century Gothic" w:cs="Century Gothic"/>
                <w:b/>
                <w:bCs/>
              </w:rPr>
              <w:t>Barrier</w:t>
            </w:r>
            <w:r w:rsidRPr="4F47708F">
              <w:rPr>
                <w:rFonts w:ascii="Century Gothic" w:eastAsia="Century Gothic" w:hAnsi="Century Gothic" w:cs="Century Gothic"/>
                <w:b/>
                <w:bCs/>
              </w:rPr>
              <w:t>s:</w:t>
            </w:r>
          </w:p>
          <w:p w14:paraId="2A7D54F4" w14:textId="0E2DF51B" w:rsidR="00E66558" w:rsidRDefault="4AFEBC23" w:rsidP="1CD8E600">
            <w:pPr>
              <w:pStyle w:val="TableRowCentered"/>
              <w:jc w:val="left"/>
              <w:rPr>
                <w:rFonts w:ascii="Century Gothic" w:eastAsia="Century Gothic" w:hAnsi="Century Gothic" w:cs="Century Gothic"/>
                <w:sz w:val="22"/>
                <w:szCs w:val="22"/>
              </w:rPr>
            </w:pPr>
            <w:r w:rsidRPr="4F47708F">
              <w:rPr>
                <w:rFonts w:ascii="Century Gothic" w:eastAsia="Century Gothic" w:hAnsi="Century Gothic" w:cs="Century Gothic"/>
              </w:rPr>
              <w:t xml:space="preserve">Our assessments, observations and discussions with students show that disadvantaged students are generally more likely to have language </w:t>
            </w:r>
            <w:r w:rsidR="49904D02" w:rsidRPr="4F47708F">
              <w:rPr>
                <w:rFonts w:ascii="Century Gothic" w:eastAsia="Century Gothic" w:hAnsi="Century Gothic" w:cs="Century Gothic"/>
              </w:rPr>
              <w:t xml:space="preserve">and reading barriers </w:t>
            </w:r>
            <w:r w:rsidRPr="4F47708F">
              <w:rPr>
                <w:rFonts w:ascii="Century Gothic" w:eastAsia="Century Gothic" w:hAnsi="Century Gothic" w:cs="Century Gothic"/>
              </w:rPr>
              <w:t>compared to non-disadvantaged students in our school.</w:t>
            </w:r>
          </w:p>
        </w:tc>
      </w:tr>
      <w:tr w:rsidR="00E66558" w14:paraId="2A7D54F8"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rsidP="1CD8E600">
            <w:pPr>
              <w:pStyle w:val="TableRow"/>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3</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BA856" w14:textId="7DC07411" w:rsidR="00E66558" w:rsidRDefault="61DE73C0" w:rsidP="1CD8E600">
            <w:pPr>
              <w:pStyle w:val="TableRowCentered"/>
              <w:jc w:val="left"/>
              <w:rPr>
                <w:rFonts w:ascii="Century Gothic" w:eastAsia="Century Gothic" w:hAnsi="Century Gothic" w:cs="Century Gothic"/>
                <w:b/>
                <w:bCs/>
              </w:rPr>
            </w:pPr>
            <w:r w:rsidRPr="1CD8E600">
              <w:rPr>
                <w:rFonts w:ascii="Century Gothic" w:eastAsia="Century Gothic" w:hAnsi="Century Gothic" w:cs="Century Gothic"/>
                <w:b/>
                <w:bCs/>
              </w:rPr>
              <w:t xml:space="preserve">Social, Emotional and Mental Health Difficulties (SEMH): </w:t>
            </w:r>
          </w:p>
          <w:p w14:paraId="2A7D54F7" w14:textId="72B7BF25" w:rsidR="00E66558" w:rsidRDefault="1675D521"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rPr>
              <w:t xml:space="preserve">Emotional wellbeing impacts on behaviour for learning, ability to attain knew knowledge, rational thinking and physical health. </w:t>
            </w:r>
            <w:proofErr w:type="gramStart"/>
            <w:r w:rsidRPr="4F47708F">
              <w:rPr>
                <w:rFonts w:ascii="Century Gothic" w:eastAsia="Century Gothic" w:hAnsi="Century Gothic" w:cs="Century Gothic"/>
              </w:rPr>
              <w:t>The majority of</w:t>
            </w:r>
            <w:proofErr w:type="gramEnd"/>
            <w:r w:rsidRPr="4F47708F">
              <w:rPr>
                <w:rFonts w:ascii="Century Gothic" w:eastAsia="Century Gothic" w:hAnsi="Century Gothic" w:cs="Century Gothic"/>
              </w:rPr>
              <w:t xml:space="preserve"> students at </w:t>
            </w:r>
            <w:r w:rsidR="3655057F" w:rsidRPr="4F47708F">
              <w:rPr>
                <w:rFonts w:ascii="Century Gothic" w:eastAsia="Century Gothic" w:hAnsi="Century Gothic" w:cs="Century Gothic"/>
              </w:rPr>
              <w:t xml:space="preserve">Greenwood </w:t>
            </w:r>
            <w:r w:rsidRPr="4F47708F">
              <w:rPr>
                <w:rFonts w:ascii="Century Gothic" w:eastAsia="Century Gothic" w:hAnsi="Century Gothic" w:cs="Century Gothic"/>
              </w:rPr>
              <w:t>school have social, emotional and / or mental health difficulties. This impacts significantly on an ability to self-regulate, self-esteem, resilience for learning, peer and adult relationships and sense of self. This all creates low motivation to learn, and many students struggle to attend school or access lessons on a regular basis.</w:t>
            </w:r>
          </w:p>
        </w:tc>
      </w:tr>
      <w:tr w:rsidR="00E66558" w14:paraId="2A7D54FB"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rsidP="1CD8E600">
            <w:pPr>
              <w:pStyle w:val="TableRow"/>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4</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66C1" w14:textId="1F6D3377" w:rsidR="00E66558" w:rsidRDefault="5EF4A96F" w:rsidP="1CD8E600">
            <w:pPr>
              <w:pStyle w:val="TableRowCentered"/>
              <w:jc w:val="left"/>
              <w:rPr>
                <w:rFonts w:ascii="Century Gothic" w:eastAsia="Century Gothic" w:hAnsi="Century Gothic" w:cs="Century Gothic"/>
                <w:b/>
                <w:bCs/>
              </w:rPr>
            </w:pPr>
            <w:r w:rsidRPr="57E914DD">
              <w:rPr>
                <w:rFonts w:ascii="Century Gothic" w:eastAsia="Century Gothic" w:hAnsi="Century Gothic" w:cs="Century Gothic"/>
                <w:b/>
                <w:bCs/>
              </w:rPr>
              <w:t>Limited Cultural Capital</w:t>
            </w:r>
            <w:r w:rsidR="793FE89E" w:rsidRPr="57E914DD">
              <w:rPr>
                <w:rFonts w:ascii="Century Gothic" w:eastAsia="Century Gothic" w:hAnsi="Century Gothic" w:cs="Century Gothic"/>
                <w:b/>
                <w:bCs/>
              </w:rPr>
              <w:t xml:space="preserve"> and Enrichment</w:t>
            </w:r>
            <w:r w:rsidRPr="57E914DD">
              <w:rPr>
                <w:rFonts w:ascii="Century Gothic" w:eastAsia="Century Gothic" w:hAnsi="Century Gothic" w:cs="Century Gothic"/>
                <w:b/>
                <w:bCs/>
              </w:rPr>
              <w:t>:</w:t>
            </w:r>
          </w:p>
          <w:p w14:paraId="2A7D54FA" w14:textId="71F5FDD9" w:rsidR="00E66558" w:rsidRDefault="28EA62F5" w:rsidP="57E914DD">
            <w:pPr>
              <w:pStyle w:val="TableRowCentered"/>
              <w:jc w:val="left"/>
              <w:rPr>
                <w:szCs w:val="24"/>
              </w:rPr>
            </w:pPr>
            <w:r w:rsidRPr="57E914DD">
              <w:rPr>
                <w:rFonts w:ascii="Century Gothic" w:eastAsia="Century Gothic" w:hAnsi="Century Gothic" w:cs="Century Gothic"/>
                <w:szCs w:val="24"/>
              </w:rPr>
              <w:t>Through observations and conversations with pupils and their families, we find that disadvantaged pupils generally have fewer opportunities to develop cultural capital outside of school.</w:t>
            </w:r>
            <w:r w:rsidR="0FB55D84" w:rsidRPr="57E914DD">
              <w:rPr>
                <w:rFonts w:ascii="Century Gothic" w:eastAsia="Century Gothic" w:hAnsi="Century Gothic" w:cs="Century Gothic"/>
                <w:szCs w:val="24"/>
              </w:rPr>
              <w:t xml:space="preserve"> </w:t>
            </w:r>
            <w:r w:rsidR="50ACF252" w:rsidRPr="57E914DD">
              <w:rPr>
                <w:rFonts w:ascii="Century Gothic" w:eastAsia="Century Gothic" w:hAnsi="Century Gothic" w:cs="Century Gothic"/>
                <w:szCs w:val="24"/>
              </w:rPr>
              <w:t>There is also a l</w:t>
            </w:r>
            <w:r w:rsidR="0FB55D84" w:rsidRPr="57E914DD">
              <w:rPr>
                <w:rFonts w:ascii="Century Gothic" w:eastAsia="Century Gothic" w:hAnsi="Century Gothic" w:cs="Century Gothic"/>
                <w:color w:val="0D0D0D" w:themeColor="text1" w:themeTint="F2"/>
                <w:szCs w:val="24"/>
              </w:rPr>
              <w:t xml:space="preserve">ack of opportunity for enrichment </w:t>
            </w:r>
            <w:r w:rsidR="36164F8B" w:rsidRPr="57E914DD">
              <w:rPr>
                <w:rFonts w:ascii="Century Gothic" w:eastAsia="Century Gothic" w:hAnsi="Century Gothic" w:cs="Century Gothic"/>
                <w:color w:val="0D0D0D" w:themeColor="text1" w:themeTint="F2"/>
                <w:szCs w:val="24"/>
              </w:rPr>
              <w:t>outside of school where students can</w:t>
            </w:r>
            <w:r w:rsidR="0FB55D84" w:rsidRPr="57E914DD">
              <w:rPr>
                <w:rFonts w:ascii="Century Gothic" w:eastAsia="Century Gothic" w:hAnsi="Century Gothic" w:cs="Century Gothic"/>
                <w:color w:val="0D0D0D" w:themeColor="text1" w:themeTint="F2"/>
                <w:szCs w:val="24"/>
              </w:rPr>
              <w:t xml:space="preserve"> develop talents, hobbies and interests.</w:t>
            </w:r>
          </w:p>
        </w:tc>
      </w:tr>
      <w:tr w:rsidR="00E66558" w14:paraId="2A7D54FE"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rsidP="1CD8E600">
            <w:pPr>
              <w:pStyle w:val="TableRow"/>
              <w:rPr>
                <w:rFonts w:ascii="Century Gothic" w:eastAsia="Century Gothic" w:hAnsi="Century Gothic" w:cs="Century Gothic"/>
                <w:sz w:val="22"/>
                <w:szCs w:val="22"/>
              </w:rPr>
            </w:pPr>
            <w:bookmarkStart w:id="16" w:name="_Toc443397160"/>
            <w:r w:rsidRPr="1CD8E600">
              <w:rPr>
                <w:rFonts w:ascii="Century Gothic" w:eastAsia="Century Gothic" w:hAnsi="Century Gothic" w:cs="Century Gothic"/>
                <w:sz w:val="22"/>
                <w:szCs w:val="22"/>
              </w:rPr>
              <w:t>5</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CDDAB" w14:textId="5A040C93" w:rsidR="43F6046C" w:rsidRDefault="3189CD69" w:rsidP="1CD8E600">
            <w:pPr>
              <w:pStyle w:val="TableRowCentered"/>
              <w:jc w:val="left"/>
              <w:rPr>
                <w:rFonts w:ascii="Century Gothic" w:eastAsia="Century Gothic" w:hAnsi="Century Gothic" w:cs="Century Gothic"/>
                <w:b/>
                <w:bCs/>
              </w:rPr>
            </w:pPr>
            <w:r w:rsidRPr="1CD8E600">
              <w:rPr>
                <w:rFonts w:ascii="Century Gothic" w:eastAsia="Century Gothic" w:hAnsi="Century Gothic" w:cs="Century Gothic"/>
                <w:b/>
                <w:bCs/>
              </w:rPr>
              <w:t>Limited Personal Skills:</w:t>
            </w:r>
          </w:p>
          <w:p w14:paraId="2A7D54FD" w14:textId="19E48C36" w:rsidR="00E66558" w:rsidRDefault="001B2294"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rPr>
              <w:t>Our assessments, observations and conversations with pupils indicate that disadvantaged pupils often require additional support to develop personal skills, e.g., independent travel</w:t>
            </w:r>
            <w:r w:rsidR="5F51F55D" w:rsidRPr="1CD8E600">
              <w:rPr>
                <w:rFonts w:ascii="Century Gothic" w:eastAsia="Century Gothic" w:hAnsi="Century Gothic" w:cs="Century Gothic"/>
              </w:rPr>
              <w:t>.</w:t>
            </w:r>
          </w:p>
        </w:tc>
      </w:tr>
      <w:tr w:rsidR="001B2294" w14:paraId="0AABCA67" w14:textId="77777777" w:rsidTr="43F0618A">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5B14" w14:textId="7B80760E" w:rsidR="001B2294" w:rsidRDefault="001B2294" w:rsidP="1CD8E600">
            <w:pPr>
              <w:pStyle w:val="TableRow"/>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6</w:t>
            </w:r>
          </w:p>
        </w:tc>
        <w:tc>
          <w:tcPr>
            <w:tcW w:w="7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BD5D" w14:textId="633DF35B" w:rsidR="1DE0206F" w:rsidRDefault="769D5646" w:rsidP="1CD8E600">
            <w:pPr>
              <w:pStyle w:val="TableRowCentered"/>
              <w:spacing w:line="259" w:lineRule="auto"/>
              <w:jc w:val="left"/>
              <w:rPr>
                <w:rFonts w:ascii="Century Gothic" w:eastAsia="Century Gothic" w:hAnsi="Century Gothic" w:cs="Century Gothic"/>
                <w:b/>
                <w:bCs/>
              </w:rPr>
            </w:pPr>
            <w:r w:rsidRPr="1CD8E600">
              <w:rPr>
                <w:rFonts w:ascii="Century Gothic" w:eastAsia="Century Gothic" w:hAnsi="Century Gothic" w:cs="Century Gothic"/>
                <w:b/>
                <w:bCs/>
              </w:rPr>
              <w:t xml:space="preserve">Continuing </w:t>
            </w:r>
            <w:r w:rsidR="3D997E15" w:rsidRPr="1CD8E600">
              <w:rPr>
                <w:rFonts w:ascii="Century Gothic" w:eastAsia="Century Gothic" w:hAnsi="Century Gothic" w:cs="Century Gothic"/>
                <w:b/>
                <w:bCs/>
              </w:rPr>
              <w:t>Effects of Pandemic:</w:t>
            </w:r>
          </w:p>
          <w:p w14:paraId="3D7B1CB5" w14:textId="4D633A7D" w:rsidR="001B2294" w:rsidRDefault="001B2294" w:rsidP="1CD8E600">
            <w:pPr>
              <w:pStyle w:val="TableRowCentered"/>
              <w:spacing w:line="259" w:lineRule="auto"/>
              <w:jc w:val="left"/>
              <w:rPr>
                <w:rFonts w:ascii="Century Gothic" w:eastAsia="Century Gothic" w:hAnsi="Century Gothic" w:cs="Century Gothic"/>
              </w:rPr>
            </w:pPr>
            <w:r w:rsidRPr="1CD8E600">
              <w:rPr>
                <w:rFonts w:ascii="Century Gothic" w:eastAsia="Century Gothic" w:hAnsi="Century Gothic" w:cs="Century Gothic"/>
              </w:rPr>
              <w:t>Our assessments, observations and discussions with pupils and families demonstrate that the education,</w:t>
            </w:r>
            <w:r w:rsidR="6B04F263" w:rsidRPr="1CD8E600">
              <w:rPr>
                <w:rFonts w:ascii="Century Gothic" w:eastAsia="Century Gothic" w:hAnsi="Century Gothic" w:cs="Century Gothic"/>
              </w:rPr>
              <w:t xml:space="preserve"> attendance,</w:t>
            </w:r>
            <w:r w:rsidRPr="1CD8E600">
              <w:rPr>
                <w:rFonts w:ascii="Century Gothic" w:eastAsia="Century Gothic" w:hAnsi="Century Gothic" w:cs="Century Gothic"/>
              </w:rPr>
              <w:t xml:space="preserve"> wellbeing </w:t>
            </w:r>
            <w:r w:rsidRPr="1CD8E600">
              <w:rPr>
                <w:rFonts w:ascii="Century Gothic" w:eastAsia="Century Gothic" w:hAnsi="Century Gothic" w:cs="Century Gothic"/>
              </w:rPr>
              <w:lastRenderedPageBreak/>
              <w:t>and wider aspects of development of many of our disadvantaged pupils have been impacted by the pandemic to a greater extent than for other pupils. These findings are backed up by several national studies.</w:t>
            </w:r>
            <w:r w:rsidR="6089A33E" w:rsidRPr="1CD8E600">
              <w:rPr>
                <w:rFonts w:ascii="Century Gothic" w:eastAsia="Century Gothic" w:hAnsi="Century Gothic" w:cs="Century Gothic"/>
              </w:rPr>
              <w:t xml:space="preserve"> </w:t>
            </w:r>
          </w:p>
          <w:p w14:paraId="76B7F7D6" w14:textId="628FE95F" w:rsidR="001B2294" w:rsidRDefault="53F0261A" w:rsidP="1CD8E600">
            <w:pPr>
              <w:pStyle w:val="TableRowCentered"/>
              <w:spacing w:line="259" w:lineRule="auto"/>
              <w:jc w:val="left"/>
              <w:rPr>
                <w:rFonts w:ascii="Century Gothic" w:eastAsia="Century Gothic" w:hAnsi="Century Gothic" w:cs="Century Gothic"/>
              </w:rPr>
            </w:pPr>
            <w:r w:rsidRPr="43F0618A">
              <w:rPr>
                <w:rFonts w:ascii="Century Gothic" w:eastAsia="Century Gothic" w:hAnsi="Century Gothic" w:cs="Century Gothic"/>
              </w:rPr>
              <w:t>Our current 2</w:t>
            </w:r>
            <w:r w:rsidR="202AA88D" w:rsidRPr="43F0618A">
              <w:rPr>
                <w:rFonts w:ascii="Century Gothic" w:eastAsia="Century Gothic" w:hAnsi="Century Gothic" w:cs="Century Gothic"/>
              </w:rPr>
              <w:t>5</w:t>
            </w:r>
            <w:r w:rsidRPr="43F0618A">
              <w:rPr>
                <w:rFonts w:ascii="Century Gothic" w:eastAsia="Century Gothic" w:hAnsi="Century Gothic" w:cs="Century Gothic"/>
              </w:rPr>
              <w:t>/2</w:t>
            </w:r>
            <w:r w:rsidR="6E7F8640" w:rsidRPr="43F0618A">
              <w:rPr>
                <w:rFonts w:ascii="Century Gothic" w:eastAsia="Century Gothic" w:hAnsi="Century Gothic" w:cs="Century Gothic"/>
              </w:rPr>
              <w:t>6</w:t>
            </w:r>
            <w:r w:rsidRPr="43F0618A">
              <w:rPr>
                <w:rFonts w:ascii="Century Gothic" w:eastAsia="Century Gothic" w:hAnsi="Century Gothic" w:cs="Century Gothic"/>
              </w:rPr>
              <w:t xml:space="preserve"> Year 11 cohort would have been in Year </w:t>
            </w:r>
            <w:r w:rsidR="50D510E5" w:rsidRPr="43F0618A">
              <w:rPr>
                <w:rFonts w:ascii="Century Gothic" w:eastAsia="Century Gothic" w:hAnsi="Century Gothic" w:cs="Century Gothic"/>
              </w:rPr>
              <w:t>5</w:t>
            </w:r>
            <w:r w:rsidRPr="43F0618A">
              <w:rPr>
                <w:rFonts w:ascii="Century Gothic" w:eastAsia="Century Gothic" w:hAnsi="Century Gothic" w:cs="Century Gothic"/>
              </w:rPr>
              <w:t xml:space="preserve"> for the</w:t>
            </w:r>
            <w:r w:rsidR="59C7A830" w:rsidRPr="43F0618A">
              <w:rPr>
                <w:rFonts w:ascii="Century Gothic" w:eastAsia="Century Gothic" w:hAnsi="Century Gothic" w:cs="Century Gothic"/>
              </w:rPr>
              <w:t xml:space="preserve"> first lockdown</w:t>
            </w:r>
            <w:r w:rsidR="06945487" w:rsidRPr="43F0618A">
              <w:rPr>
                <w:rFonts w:ascii="Century Gothic" w:eastAsia="Century Gothic" w:hAnsi="Century Gothic" w:cs="Century Gothic"/>
              </w:rPr>
              <w:t xml:space="preserve"> and then </w:t>
            </w:r>
            <w:r w:rsidR="69CD8972" w:rsidRPr="43F0618A">
              <w:rPr>
                <w:rFonts w:ascii="Century Gothic" w:eastAsia="Century Gothic" w:hAnsi="Century Gothic" w:cs="Century Gothic"/>
              </w:rPr>
              <w:t xml:space="preserve">following lock downs took place </w:t>
            </w:r>
            <w:r w:rsidR="06945487" w:rsidRPr="43F0618A">
              <w:rPr>
                <w:rFonts w:ascii="Century Gothic" w:eastAsia="Century Gothic" w:hAnsi="Century Gothic" w:cs="Century Gothic"/>
              </w:rPr>
              <w:t>in Year 6,</w:t>
            </w:r>
            <w:r w:rsidR="59C7A830" w:rsidRPr="43F0618A">
              <w:rPr>
                <w:rFonts w:ascii="Century Gothic" w:eastAsia="Century Gothic" w:hAnsi="Century Gothic" w:cs="Century Gothic"/>
              </w:rPr>
              <w:t xml:space="preserve"> and so</w:t>
            </w:r>
            <w:r w:rsidR="7B35C805" w:rsidRPr="43F0618A">
              <w:rPr>
                <w:rFonts w:ascii="Century Gothic" w:eastAsia="Century Gothic" w:hAnsi="Century Gothic" w:cs="Century Gothic"/>
              </w:rPr>
              <w:t xml:space="preserve"> their</w:t>
            </w:r>
            <w:r w:rsidR="59C7A830" w:rsidRPr="43F0618A">
              <w:rPr>
                <w:rFonts w:ascii="Century Gothic" w:eastAsia="Century Gothic" w:hAnsi="Century Gothic" w:cs="Century Gothic"/>
              </w:rPr>
              <w:t xml:space="preserve"> </w:t>
            </w:r>
            <w:r w:rsidR="3F1A24DA" w:rsidRPr="43F0618A">
              <w:rPr>
                <w:rFonts w:ascii="Century Gothic" w:eastAsia="Century Gothic" w:hAnsi="Century Gothic" w:cs="Century Gothic"/>
              </w:rPr>
              <w:t xml:space="preserve">foundational learning </w:t>
            </w:r>
            <w:r w:rsidR="59C7A830" w:rsidRPr="43F0618A">
              <w:rPr>
                <w:rFonts w:ascii="Century Gothic" w:eastAsia="Century Gothic" w:hAnsi="Century Gothic" w:cs="Century Gothic"/>
              </w:rPr>
              <w:t>would have been greatly impacted.</w:t>
            </w:r>
            <w:r w:rsidR="7D403CE2" w:rsidRPr="43F0618A">
              <w:rPr>
                <w:rFonts w:ascii="Century Gothic" w:eastAsia="Century Gothic" w:hAnsi="Century Gothic" w:cs="Century Gothic"/>
              </w:rPr>
              <w:t xml:space="preserve"> Students below </w:t>
            </w:r>
            <w:r w:rsidR="79F2A21C" w:rsidRPr="43F0618A">
              <w:rPr>
                <w:rFonts w:ascii="Century Gothic" w:eastAsia="Century Gothic" w:hAnsi="Century Gothic" w:cs="Century Gothic"/>
              </w:rPr>
              <w:t>Y</w:t>
            </w:r>
            <w:r w:rsidR="7D403CE2" w:rsidRPr="43F0618A">
              <w:rPr>
                <w:rFonts w:ascii="Century Gothic" w:eastAsia="Century Gothic" w:hAnsi="Century Gothic" w:cs="Century Gothic"/>
              </w:rPr>
              <w:t xml:space="preserve">ear 11 would have been </w:t>
            </w:r>
            <w:r w:rsidR="7347ADEE" w:rsidRPr="43F0618A">
              <w:rPr>
                <w:rFonts w:ascii="Century Gothic" w:eastAsia="Century Gothic" w:hAnsi="Century Gothic" w:cs="Century Gothic"/>
              </w:rPr>
              <w:t>between year 1 and year 5</w:t>
            </w:r>
            <w:r w:rsidR="7D403CE2" w:rsidRPr="43F0618A">
              <w:rPr>
                <w:rFonts w:ascii="Century Gothic" w:eastAsia="Century Gothic" w:hAnsi="Century Gothic" w:cs="Century Gothic"/>
              </w:rPr>
              <w:t xml:space="preserve"> during the pandemic, </w:t>
            </w:r>
            <w:r w:rsidR="3D82DB86" w:rsidRPr="43F0618A">
              <w:rPr>
                <w:rFonts w:ascii="Century Gothic" w:eastAsia="Century Gothic" w:hAnsi="Century Gothic" w:cs="Century Gothic"/>
              </w:rPr>
              <w:t xml:space="preserve">also </w:t>
            </w:r>
            <w:r w:rsidR="7D403CE2" w:rsidRPr="43F0618A">
              <w:rPr>
                <w:rFonts w:ascii="Century Gothic" w:eastAsia="Century Gothic" w:hAnsi="Century Gothic" w:cs="Century Gothic"/>
              </w:rPr>
              <w:t xml:space="preserve">meaning that key </w:t>
            </w:r>
            <w:r w:rsidR="59A7ED2C" w:rsidRPr="43F0618A">
              <w:rPr>
                <w:rFonts w:ascii="Century Gothic" w:eastAsia="Century Gothic" w:hAnsi="Century Gothic" w:cs="Century Gothic"/>
              </w:rPr>
              <w:t>foundational</w:t>
            </w:r>
            <w:r w:rsidR="7D403CE2" w:rsidRPr="43F0618A">
              <w:rPr>
                <w:rFonts w:ascii="Century Gothic" w:eastAsia="Century Gothic" w:hAnsi="Century Gothic" w:cs="Century Gothic"/>
              </w:rPr>
              <w:t xml:space="preserve"> learning and social development </w:t>
            </w:r>
            <w:r w:rsidR="6315CAE3" w:rsidRPr="43F0618A">
              <w:rPr>
                <w:rFonts w:ascii="Century Gothic" w:eastAsia="Century Gothic" w:hAnsi="Century Gothic" w:cs="Century Gothic"/>
              </w:rPr>
              <w:t>will</w:t>
            </w:r>
            <w:r w:rsidR="7D403CE2" w:rsidRPr="43F0618A">
              <w:rPr>
                <w:rFonts w:ascii="Century Gothic" w:eastAsia="Century Gothic" w:hAnsi="Century Gothic" w:cs="Century Gothic"/>
              </w:rPr>
              <w:t xml:space="preserve"> have been </w:t>
            </w:r>
            <w:r w:rsidR="4A415B82" w:rsidRPr="43F0618A">
              <w:rPr>
                <w:rFonts w:ascii="Century Gothic" w:eastAsia="Century Gothic" w:hAnsi="Century Gothic" w:cs="Century Gothic"/>
              </w:rPr>
              <w:t xml:space="preserve">greatly </w:t>
            </w:r>
            <w:r w:rsidR="7D403CE2" w:rsidRPr="43F0618A">
              <w:rPr>
                <w:rFonts w:ascii="Century Gothic" w:eastAsia="Century Gothic" w:hAnsi="Century Gothic" w:cs="Century Gothic"/>
              </w:rPr>
              <w:t>impacted</w:t>
            </w:r>
            <w:r w:rsidR="51AFA87D" w:rsidRPr="43F0618A">
              <w:rPr>
                <w:rFonts w:ascii="Century Gothic" w:eastAsia="Century Gothic" w:hAnsi="Century Gothic" w:cs="Century Gothic"/>
              </w:rPr>
              <w:t xml:space="preserve"> for these students</w:t>
            </w:r>
            <w:r w:rsidR="7D403CE2" w:rsidRPr="43F0618A">
              <w:rPr>
                <w:rFonts w:ascii="Century Gothic" w:eastAsia="Century Gothic" w:hAnsi="Century Gothic" w:cs="Century Gothic"/>
              </w:rPr>
              <w:t>.</w:t>
            </w:r>
          </w:p>
        </w:tc>
      </w:tr>
    </w:tbl>
    <w:p w14:paraId="2A7D54FF" w14:textId="3521B02F" w:rsidR="00E66558" w:rsidRDefault="1A9386FC" w:rsidP="1CD8E600">
      <w:pPr>
        <w:pStyle w:val="Heading2"/>
        <w:spacing w:before="600"/>
        <w:rPr>
          <w:rFonts w:ascii="Century Gothic" w:eastAsia="Century Gothic" w:hAnsi="Century Gothic" w:cs="Century Gothic"/>
          <w:color w:val="036308"/>
        </w:rPr>
      </w:pPr>
      <w:r w:rsidRPr="1CD8E600">
        <w:rPr>
          <w:rFonts w:ascii="Century Gothic" w:eastAsia="Century Gothic" w:hAnsi="Century Gothic" w:cs="Century Gothic"/>
          <w:color w:val="036308"/>
        </w:rPr>
        <w:lastRenderedPageBreak/>
        <w:t>I</w:t>
      </w:r>
      <w:r w:rsidR="009D71E8" w:rsidRPr="1CD8E600">
        <w:rPr>
          <w:rFonts w:ascii="Century Gothic" w:eastAsia="Century Gothic" w:hAnsi="Century Gothic" w:cs="Century Gothic"/>
          <w:color w:val="036308"/>
        </w:rPr>
        <w:t xml:space="preserve">ntended outcomes </w:t>
      </w:r>
    </w:p>
    <w:p w14:paraId="2A7D5500" w14:textId="77777777" w:rsidR="00E66558" w:rsidRDefault="009D71E8" w:rsidP="1CD8E600">
      <w:pPr>
        <w:rPr>
          <w:rFonts w:ascii="Century Gothic" w:eastAsia="Century Gothic" w:hAnsi="Century Gothic" w:cs="Century Gothic"/>
          <w:color w:val="auto"/>
        </w:rPr>
      </w:pPr>
      <w:r w:rsidRPr="1CD8E600">
        <w:rPr>
          <w:rFonts w:ascii="Century Gothic" w:eastAsia="Century Gothic" w:hAnsi="Century Gothic" w:cs="Century Gothic"/>
          <w:color w:val="auto"/>
        </w:rPr>
        <w:t xml:space="preserve">This explains the outcomes we are aiming for </w:t>
      </w:r>
      <w:r w:rsidRPr="1CD8E600">
        <w:rPr>
          <w:rFonts w:ascii="Century Gothic" w:eastAsia="Century Gothic" w:hAnsi="Century Gothic" w:cs="Century Gothic"/>
          <w:b/>
          <w:bCs/>
          <w:color w:val="auto"/>
        </w:rPr>
        <w:t>by the end of our current strategy plan</w:t>
      </w:r>
      <w:r w:rsidRPr="1CD8E600">
        <w:rPr>
          <w:rFonts w:ascii="Century Gothic" w:eastAsia="Century Gothic" w:hAnsi="Century Gothic" w:cs="Century Gothic"/>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01"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02"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Success criteria</w:t>
            </w:r>
          </w:p>
        </w:tc>
      </w:tr>
      <w:tr w:rsidR="00E66558" w14:paraId="2A7D5506"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E1F16D4" w:rsidR="00E66558" w:rsidRDefault="40B9AD23" w:rsidP="1CD8E600">
            <w:pPr>
              <w:pStyle w:val="TableRow"/>
              <w:numPr>
                <w:ilvl w:val="0"/>
                <w:numId w:val="4"/>
              </w:numPr>
              <w:rPr>
                <w:rFonts w:ascii="Century Gothic" w:eastAsia="Century Gothic" w:hAnsi="Century Gothic" w:cs="Century Gothic"/>
              </w:rPr>
            </w:pPr>
            <w:r w:rsidRPr="1CD8E600">
              <w:rPr>
                <w:rFonts w:ascii="Century Gothic" w:eastAsia="Century Gothic" w:hAnsi="Century Gothic" w:cs="Century Gothic"/>
              </w:rPr>
              <w:t>Improved attainment for disadvantaged students in all subjects, notably in maths, relative to their starting points as identified through baseline assessments.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1076F" w14:textId="77474B90" w:rsidR="004C3310" w:rsidRDefault="7C4A0456"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rPr>
              <w:t xml:space="preserve">Through achievement of improved performance, as demonstrated by our end of year assessments </w:t>
            </w:r>
            <w:r w:rsidR="35D57FDA" w:rsidRPr="4F47708F">
              <w:rPr>
                <w:rFonts w:ascii="Century Gothic" w:eastAsia="Century Gothic" w:hAnsi="Century Gothic" w:cs="Century Gothic"/>
              </w:rPr>
              <w:t>by Summer 2028.</w:t>
            </w:r>
          </w:p>
          <w:p w14:paraId="2A7D5505" w14:textId="2432185F" w:rsidR="00E66558" w:rsidRDefault="40B9AD23"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rPr>
              <w:t xml:space="preserve">Maintain, or improve, the percentage of students </w:t>
            </w:r>
            <w:r w:rsidR="65A54854" w:rsidRPr="1CD8E600">
              <w:rPr>
                <w:rFonts w:ascii="Century Gothic" w:eastAsia="Century Gothic" w:hAnsi="Century Gothic" w:cs="Century Gothic"/>
              </w:rPr>
              <w:t>making progress from</w:t>
            </w:r>
            <w:r w:rsidRPr="1CD8E600">
              <w:rPr>
                <w:rFonts w:ascii="Century Gothic" w:eastAsia="Century Gothic" w:hAnsi="Century Gothic" w:cs="Century Gothic"/>
              </w:rPr>
              <w:t xml:space="preserve"> their </w:t>
            </w:r>
            <w:r w:rsidR="263C3B88" w:rsidRPr="1CD8E600">
              <w:rPr>
                <w:rFonts w:ascii="Century Gothic" w:eastAsia="Century Gothic" w:hAnsi="Century Gothic" w:cs="Century Gothic"/>
              </w:rPr>
              <w:t>baseline outcomes i</w:t>
            </w:r>
            <w:r w:rsidRPr="1CD8E600">
              <w:rPr>
                <w:rFonts w:ascii="Century Gothic" w:eastAsia="Century Gothic" w:hAnsi="Century Gothic" w:cs="Century Gothic"/>
              </w:rPr>
              <w:t>n English, Maths and Science, compared to non-PP peers.</w:t>
            </w:r>
          </w:p>
        </w:tc>
      </w:tr>
      <w:tr w:rsidR="00E66558" w14:paraId="2A7D5509"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3B27AC95" w:rsidR="00E66558" w:rsidRDefault="4CE5BD5F" w:rsidP="1CD8E600">
            <w:pPr>
              <w:pStyle w:val="TableRow"/>
              <w:numPr>
                <w:ilvl w:val="0"/>
                <w:numId w:val="4"/>
              </w:numPr>
              <w:rPr>
                <w:rFonts w:ascii="Century Gothic" w:eastAsia="Century Gothic" w:hAnsi="Century Gothic" w:cs="Century Gothic"/>
              </w:rPr>
            </w:pPr>
            <w:r w:rsidRPr="1CD8E600">
              <w:rPr>
                <w:rFonts w:ascii="Century Gothic" w:eastAsia="Century Gothic" w:hAnsi="Century Gothic" w:cs="Century Gothic"/>
              </w:rPr>
              <w:t>Improved reading fluency and comprehension skills in disadvantaged students resulting in greater confidence in learning and access to a broad curriculum.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8" w14:textId="32590817" w:rsidR="00E66558" w:rsidRDefault="68F8FEAD"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rPr>
              <w:t xml:space="preserve">Improved performance of PP students in </w:t>
            </w:r>
            <w:r w:rsidR="73A87F83" w:rsidRPr="4F47708F">
              <w:rPr>
                <w:rFonts w:ascii="Century Gothic" w:eastAsia="Century Gothic" w:hAnsi="Century Gothic" w:cs="Century Gothic"/>
              </w:rPr>
              <w:t>reading assessments</w:t>
            </w:r>
            <w:r w:rsidR="5923842F" w:rsidRPr="4F47708F">
              <w:rPr>
                <w:rFonts w:ascii="Century Gothic" w:eastAsia="Century Gothic" w:hAnsi="Century Gothic" w:cs="Century Gothic"/>
              </w:rPr>
              <w:t xml:space="preserve"> and achievement of functional skills English (</w:t>
            </w:r>
            <w:r w:rsidR="77897AC4" w:rsidRPr="4F47708F">
              <w:rPr>
                <w:rFonts w:ascii="Century Gothic" w:eastAsia="Century Gothic" w:hAnsi="Century Gothic" w:cs="Century Gothic"/>
              </w:rPr>
              <w:t>r</w:t>
            </w:r>
            <w:r w:rsidR="5923842F" w:rsidRPr="4F47708F">
              <w:rPr>
                <w:rFonts w:ascii="Century Gothic" w:eastAsia="Century Gothic" w:hAnsi="Century Gothic" w:cs="Century Gothic"/>
              </w:rPr>
              <w:t>eading, writing</w:t>
            </w:r>
            <w:r w:rsidRPr="4F47708F">
              <w:rPr>
                <w:rFonts w:ascii="Century Gothic" w:eastAsia="Century Gothic" w:hAnsi="Century Gothic" w:cs="Century Gothic"/>
              </w:rPr>
              <w:t>,</w:t>
            </w:r>
            <w:r w:rsidR="48716604" w:rsidRPr="4F47708F">
              <w:rPr>
                <w:rFonts w:ascii="Century Gothic" w:eastAsia="Century Gothic" w:hAnsi="Century Gothic" w:cs="Century Gothic"/>
              </w:rPr>
              <w:t xml:space="preserve"> and speaking and listening)</w:t>
            </w:r>
            <w:r w:rsidRPr="4F47708F">
              <w:rPr>
                <w:rFonts w:ascii="Century Gothic" w:eastAsia="Century Gothic" w:hAnsi="Century Gothic" w:cs="Century Gothic"/>
              </w:rPr>
              <w:t xml:space="preserve"> as demonstrated by their outcomes </w:t>
            </w:r>
            <w:r w:rsidR="59100E30" w:rsidRPr="4F47708F">
              <w:rPr>
                <w:rFonts w:ascii="Century Gothic" w:eastAsia="Century Gothic" w:hAnsi="Century Gothic" w:cs="Century Gothic"/>
              </w:rPr>
              <w:t>by Summer 2028.</w:t>
            </w:r>
          </w:p>
        </w:tc>
      </w:tr>
      <w:tr w:rsidR="1CD8E600" w14:paraId="39384BB8" w14:textId="77777777" w:rsidTr="57E914DD">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A5C1" w14:textId="3DD3E4BF" w:rsidR="2B8CAA20" w:rsidRDefault="2B8CAA20" w:rsidP="1CD8E600">
            <w:pPr>
              <w:pStyle w:val="TableRow"/>
              <w:numPr>
                <w:ilvl w:val="0"/>
                <w:numId w:val="4"/>
              </w:numPr>
              <w:rPr>
                <w:rFonts w:ascii="Century Gothic" w:eastAsia="Century Gothic" w:hAnsi="Century Gothic" w:cs="Century Gothic"/>
              </w:rPr>
            </w:pPr>
            <w:r w:rsidRPr="1CD8E600">
              <w:rPr>
                <w:rFonts w:ascii="Century Gothic" w:eastAsia="Century Gothic" w:hAnsi="Century Gothic" w:cs="Century Gothic"/>
              </w:rPr>
              <w:t>Our disadvantaged students will be taught the attributes and skills that they need to manage their own needs alongside the knowledge that they need to gain appropriate qualifications.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197C" w14:textId="313C2306" w:rsidR="2B8CAA20" w:rsidRDefault="2B8CAA20"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 xml:space="preserve">Increased attendance for PP students. </w:t>
            </w:r>
          </w:p>
          <w:p w14:paraId="70A208F1" w14:textId="4571002D" w:rsidR="2B8CAA20" w:rsidRDefault="2B8CAA20"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A reduction in the rate of suspension for PP students.</w:t>
            </w:r>
          </w:p>
          <w:p w14:paraId="60295CC8" w14:textId="30878599" w:rsidR="2B8CAA20" w:rsidRDefault="2B8CAA20"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A higher % of PP students successfully returning to a mainstream setting.</w:t>
            </w:r>
          </w:p>
          <w:p w14:paraId="16CECB22" w14:textId="1754EE1F" w:rsidR="2B8CAA20" w:rsidRDefault="1D998DF6" w:rsidP="1CD8E600">
            <w:pPr>
              <w:pStyle w:val="TableRowCentered"/>
              <w:jc w:val="left"/>
              <w:rPr>
                <w:rFonts w:ascii="Century Gothic" w:eastAsia="Century Gothic" w:hAnsi="Century Gothic" w:cs="Century Gothic"/>
              </w:rPr>
            </w:pPr>
            <w:r w:rsidRPr="57E914DD">
              <w:rPr>
                <w:rFonts w:ascii="Century Gothic" w:eastAsia="Century Gothic" w:hAnsi="Century Gothic" w:cs="Century Gothic"/>
              </w:rPr>
              <w:lastRenderedPageBreak/>
              <w:t>Attributes questionnaire outcomes</w:t>
            </w:r>
            <w:r w:rsidR="57A3CA37" w:rsidRPr="57E914DD">
              <w:rPr>
                <w:rFonts w:ascii="Century Gothic" w:eastAsia="Century Gothic" w:hAnsi="Century Gothic" w:cs="Century Gothic"/>
              </w:rPr>
              <w:t xml:space="preserve"> </w:t>
            </w:r>
            <w:bookmarkStart w:id="17" w:name="_Int_9H3FwLjx"/>
            <w:r w:rsidR="57A3CA37" w:rsidRPr="57E914DD">
              <w:rPr>
                <w:rFonts w:ascii="Century Gothic" w:eastAsia="Century Gothic" w:hAnsi="Century Gothic" w:cs="Century Gothic"/>
              </w:rPr>
              <w:t>demonstrating</w:t>
            </w:r>
            <w:bookmarkEnd w:id="17"/>
            <w:r w:rsidR="57A3CA37" w:rsidRPr="57E914DD">
              <w:rPr>
                <w:rFonts w:ascii="Century Gothic" w:eastAsia="Century Gothic" w:hAnsi="Century Gothic" w:cs="Century Gothic"/>
              </w:rPr>
              <w:t xml:space="preserve"> improvement over time</w:t>
            </w:r>
            <w:r w:rsidRPr="57E914DD">
              <w:rPr>
                <w:rFonts w:ascii="Century Gothic" w:eastAsia="Century Gothic" w:hAnsi="Century Gothic" w:cs="Century Gothic"/>
              </w:rPr>
              <w:t>.</w:t>
            </w:r>
          </w:p>
        </w:tc>
      </w:tr>
      <w:tr w:rsidR="00E66558" w14:paraId="2A7D550C"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542A8014" w:rsidR="00E66558" w:rsidRDefault="7F4AFCD0" w:rsidP="1CD8E600">
            <w:pPr>
              <w:pStyle w:val="TableRow"/>
              <w:numPr>
                <w:ilvl w:val="0"/>
                <w:numId w:val="4"/>
              </w:numPr>
              <w:rPr>
                <w:rFonts w:ascii="Century Gothic" w:eastAsia="Century Gothic" w:hAnsi="Century Gothic" w:cs="Century Gothic"/>
              </w:rPr>
            </w:pPr>
            <w:r w:rsidRPr="57E914DD">
              <w:rPr>
                <w:rFonts w:ascii="Century Gothic" w:eastAsia="Century Gothic" w:hAnsi="Century Gothic" w:cs="Century Gothic"/>
              </w:rPr>
              <w:lastRenderedPageBreak/>
              <w:t xml:space="preserve">Our disadvantaged students will have experienced a curriculum rich in cultural capital and will have been able to access </w:t>
            </w:r>
            <w:r w:rsidR="34CA8056" w:rsidRPr="57E914DD">
              <w:rPr>
                <w:rFonts w:ascii="Century Gothic" w:eastAsia="Century Gothic" w:hAnsi="Century Gothic" w:cs="Century Gothic"/>
              </w:rPr>
              <w:t xml:space="preserve">enriching and cultural </w:t>
            </w:r>
            <w:r w:rsidRPr="57E914DD">
              <w:rPr>
                <w:rFonts w:ascii="Century Gothic" w:eastAsia="Century Gothic" w:hAnsi="Century Gothic" w:cs="Century Gothic"/>
              </w:rPr>
              <w:t>opportunities</w:t>
            </w:r>
            <w:r w:rsidR="52FFEABA" w:rsidRPr="57E914DD">
              <w:rPr>
                <w:rFonts w:ascii="Century Gothic" w:eastAsia="Century Gothic" w:hAnsi="Century Gothic" w:cs="Century Gothic"/>
              </w:rPr>
              <w:t>, including opportunities beyond the classroom setting and to work with visitors from different backgrounds.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EE1F" w14:textId="26AE8430" w:rsidR="00E66558" w:rsidRDefault="4A7F3AE0"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rPr>
              <w:t xml:space="preserve">Through increased engagement in school evidenced through attendance and Ready, Respectful, Safe </w:t>
            </w:r>
            <w:r w:rsidR="3D56BA92" w:rsidRPr="4F47708F">
              <w:rPr>
                <w:rFonts w:ascii="Century Gothic" w:eastAsia="Century Gothic" w:hAnsi="Century Gothic" w:cs="Century Gothic"/>
              </w:rPr>
              <w:t>marks in lesson</w:t>
            </w:r>
            <w:r w:rsidRPr="4F47708F">
              <w:rPr>
                <w:rFonts w:ascii="Century Gothic" w:eastAsia="Century Gothic" w:hAnsi="Century Gothic" w:cs="Century Gothic"/>
              </w:rPr>
              <w:t xml:space="preserve">s. </w:t>
            </w:r>
          </w:p>
          <w:p w14:paraId="2A7D550B" w14:textId="05489489" w:rsidR="00E66558" w:rsidRDefault="16AFBA13" w:rsidP="1CD8E600">
            <w:pPr>
              <w:pStyle w:val="TableRowCentered"/>
              <w:jc w:val="left"/>
              <w:rPr>
                <w:rFonts w:ascii="Century Gothic" w:eastAsia="Century Gothic" w:hAnsi="Century Gothic" w:cs="Century Gothic"/>
              </w:rPr>
            </w:pPr>
            <w:r w:rsidRPr="57E914DD">
              <w:rPr>
                <w:rFonts w:ascii="Century Gothic" w:eastAsia="Century Gothic" w:hAnsi="Century Gothic" w:cs="Century Gothic"/>
              </w:rPr>
              <w:t xml:space="preserve">All disadvantaged students will have taken part in </w:t>
            </w:r>
            <w:r w:rsidR="7C849C3E" w:rsidRPr="57E914DD">
              <w:rPr>
                <w:rFonts w:ascii="Century Gothic" w:eastAsia="Century Gothic" w:hAnsi="Century Gothic" w:cs="Century Gothic"/>
              </w:rPr>
              <w:t xml:space="preserve">a range of </w:t>
            </w:r>
            <w:r w:rsidR="3681E65A" w:rsidRPr="57E914DD">
              <w:rPr>
                <w:rFonts w:ascii="Century Gothic" w:eastAsia="Century Gothic" w:hAnsi="Century Gothic" w:cs="Century Gothic"/>
              </w:rPr>
              <w:t>enrichment activities and opportunities aimed to develop cultural capital.</w:t>
            </w:r>
          </w:p>
        </w:tc>
      </w:tr>
      <w:tr w:rsidR="00E66558" w14:paraId="2A7D550F"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2760482A" w:rsidR="00E66558" w:rsidRDefault="50B61644" w:rsidP="1CD8E600">
            <w:pPr>
              <w:pStyle w:val="TableRow"/>
              <w:numPr>
                <w:ilvl w:val="0"/>
                <w:numId w:val="4"/>
              </w:numPr>
              <w:rPr>
                <w:rFonts w:ascii="Century Gothic" w:eastAsia="Century Gothic" w:hAnsi="Century Gothic" w:cs="Century Gothic"/>
                <w:sz w:val="22"/>
                <w:szCs w:val="22"/>
              </w:rPr>
            </w:pPr>
            <w:r w:rsidRPr="1CD8E600">
              <w:rPr>
                <w:rFonts w:ascii="Century Gothic" w:eastAsia="Century Gothic" w:hAnsi="Century Gothic" w:cs="Century Gothic"/>
              </w:rPr>
              <w:t>Disadvantaged students feel better prepared for career progression through mentoring, college placements and work experience opportunities.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1158" w14:textId="77777777" w:rsidR="004C3310" w:rsidRDefault="1A977E28"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 xml:space="preserve">All disadvantaged students are given the opportunity to access high quality careers mentoring, college placements and work experience. </w:t>
            </w:r>
          </w:p>
          <w:p w14:paraId="1FBBC3AC" w14:textId="77777777" w:rsidR="004C3310" w:rsidRDefault="004C3310" w:rsidP="1CD8E600">
            <w:pPr>
              <w:pStyle w:val="TableRowCentered"/>
              <w:jc w:val="left"/>
              <w:rPr>
                <w:rFonts w:ascii="Century Gothic" w:eastAsia="Century Gothic" w:hAnsi="Century Gothic" w:cs="Century Gothic"/>
              </w:rPr>
            </w:pPr>
          </w:p>
          <w:p w14:paraId="2A7D550E" w14:textId="23927866" w:rsidR="00E66558" w:rsidRDefault="7C4A0456" w:rsidP="4F47708F">
            <w:pPr>
              <w:pStyle w:val="TableRowCentered"/>
              <w:jc w:val="left"/>
              <w:rPr>
                <w:rFonts w:ascii="Century Gothic" w:eastAsia="Century Gothic" w:hAnsi="Century Gothic" w:cs="Century Gothic"/>
              </w:rPr>
            </w:pPr>
            <w:r w:rsidRPr="4F47708F">
              <w:rPr>
                <w:rFonts w:ascii="Century Gothic" w:eastAsia="Century Gothic" w:hAnsi="Century Gothic" w:cs="Century Gothic"/>
              </w:rPr>
              <w:t xml:space="preserve">By the end of </w:t>
            </w:r>
            <w:r w:rsidR="58A9F122" w:rsidRPr="4F47708F">
              <w:rPr>
                <w:rFonts w:ascii="Century Gothic" w:eastAsia="Century Gothic" w:hAnsi="Century Gothic" w:cs="Century Gothic"/>
              </w:rPr>
              <w:t>the academic year 2027-2028,</w:t>
            </w:r>
            <w:r w:rsidRPr="4F47708F">
              <w:rPr>
                <w:rFonts w:ascii="Century Gothic" w:eastAsia="Century Gothic" w:hAnsi="Century Gothic" w:cs="Century Gothic"/>
              </w:rPr>
              <w:t xml:space="preserve"> disadvantaged students </w:t>
            </w:r>
            <w:r w:rsidR="499FA2C4" w:rsidRPr="4F47708F">
              <w:rPr>
                <w:rFonts w:ascii="Century Gothic" w:eastAsia="Century Gothic" w:hAnsi="Century Gothic" w:cs="Century Gothic"/>
              </w:rPr>
              <w:t>should be</w:t>
            </w:r>
            <w:r w:rsidRPr="4F47708F">
              <w:rPr>
                <w:rFonts w:ascii="Century Gothic" w:eastAsia="Century Gothic" w:hAnsi="Century Gothic" w:cs="Century Gothic"/>
              </w:rPr>
              <w:t xml:space="preserve"> progressing to further education in the same numbers as their non-PP peers.</w:t>
            </w:r>
          </w:p>
        </w:tc>
      </w:tr>
      <w:tr w:rsidR="00DD23FE" w14:paraId="1E92E5F8"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12E35" w14:textId="6D5F3FEC" w:rsidR="00DD23FE" w:rsidRDefault="48240A17" w:rsidP="1CD8E600">
            <w:pPr>
              <w:pStyle w:val="TableRow"/>
              <w:numPr>
                <w:ilvl w:val="0"/>
                <w:numId w:val="4"/>
              </w:numPr>
              <w:rPr>
                <w:rFonts w:ascii="Century Gothic" w:eastAsia="Century Gothic" w:hAnsi="Century Gothic" w:cs="Century Gothic"/>
              </w:rPr>
            </w:pPr>
            <w:r w:rsidRPr="1CD8E600">
              <w:rPr>
                <w:rFonts w:ascii="Century Gothic" w:eastAsia="Century Gothic" w:hAnsi="Century Gothic" w:cs="Century Gothic"/>
              </w:rPr>
              <w:t xml:space="preserve">The education, </w:t>
            </w:r>
            <w:r w:rsidR="2086D26F" w:rsidRPr="1CD8E600">
              <w:rPr>
                <w:rFonts w:ascii="Century Gothic" w:eastAsia="Century Gothic" w:hAnsi="Century Gothic" w:cs="Century Gothic"/>
              </w:rPr>
              <w:t xml:space="preserve">attendance, </w:t>
            </w:r>
            <w:r w:rsidRPr="1CD8E600">
              <w:rPr>
                <w:rFonts w:ascii="Century Gothic" w:eastAsia="Century Gothic" w:hAnsi="Century Gothic" w:cs="Century Gothic"/>
              </w:rPr>
              <w:t>wellbeing and wider aspects of development of our disadvantaged students, which has been particularly impacted by the pandemic, progresses in line with their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681EB" w14:textId="7E708E4A" w:rsidR="00DD23FE" w:rsidRDefault="38088C0E"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rPr>
              <w:t>Evidenced through the Attributes questionnaire, academic outcomes, and observations, by the end of 202</w:t>
            </w:r>
            <w:r w:rsidR="1014E79F" w:rsidRPr="4F47708F">
              <w:rPr>
                <w:rFonts w:ascii="Century Gothic" w:eastAsia="Century Gothic" w:hAnsi="Century Gothic" w:cs="Century Gothic"/>
              </w:rPr>
              <w:t>7-2028</w:t>
            </w:r>
            <w:r w:rsidRPr="4F47708F">
              <w:rPr>
                <w:rFonts w:ascii="Century Gothic" w:eastAsia="Century Gothic" w:hAnsi="Century Gothic" w:cs="Century Gothic"/>
              </w:rPr>
              <w:t xml:space="preserve">, our disadvantaged students </w:t>
            </w:r>
            <w:r w:rsidR="243054E5" w:rsidRPr="4F47708F">
              <w:rPr>
                <w:rFonts w:ascii="Century Gothic" w:eastAsia="Century Gothic" w:hAnsi="Century Gothic" w:cs="Century Gothic"/>
              </w:rPr>
              <w:t xml:space="preserve">will be </w:t>
            </w:r>
            <w:r w:rsidRPr="4F47708F">
              <w:rPr>
                <w:rFonts w:ascii="Century Gothic" w:eastAsia="Century Gothic" w:hAnsi="Century Gothic" w:cs="Century Gothic"/>
              </w:rPr>
              <w:t>progressing in all areas of our ASK (Attributes, Skills and Knowledge) curriculum, in line with their peers.</w:t>
            </w:r>
            <w:r w:rsidR="4DEBF123" w:rsidRPr="4F47708F">
              <w:rPr>
                <w:rFonts w:ascii="Century Gothic" w:eastAsia="Century Gothic" w:hAnsi="Century Gothic" w:cs="Century Gothic"/>
              </w:rPr>
              <w:t xml:space="preserve"> Attendance data for PP students will be in line with that of non-PP peers.</w:t>
            </w:r>
          </w:p>
        </w:tc>
      </w:tr>
    </w:tbl>
    <w:p w14:paraId="60BAD9F6" w14:textId="77777777" w:rsidR="00120AB1" w:rsidRDefault="00120AB1" w:rsidP="1CD8E600">
      <w:pPr>
        <w:rPr>
          <w:rFonts w:ascii="Century Gothic" w:eastAsia="Century Gothic" w:hAnsi="Century Gothic" w:cs="Century Gothic"/>
        </w:rPr>
      </w:pPr>
    </w:p>
    <w:p w14:paraId="2A7D5512" w14:textId="728F5A6A" w:rsidR="00E66558" w:rsidRDefault="009D71E8" w:rsidP="1CD8E600">
      <w:pPr>
        <w:pStyle w:val="Heading2"/>
        <w:rPr>
          <w:rFonts w:ascii="Century Gothic" w:eastAsia="Century Gothic" w:hAnsi="Century Gothic" w:cs="Century Gothic"/>
          <w:color w:val="036308"/>
        </w:rPr>
      </w:pPr>
      <w:r w:rsidRPr="1CD8E600">
        <w:rPr>
          <w:rFonts w:ascii="Century Gothic" w:eastAsia="Century Gothic" w:hAnsi="Century Gothic" w:cs="Century Gothic"/>
          <w:color w:val="036308"/>
        </w:rPr>
        <w:t>Activity in this academic year</w:t>
      </w:r>
    </w:p>
    <w:p w14:paraId="2A7D5513" w14:textId="34722F6F" w:rsidR="00E66558" w:rsidRDefault="009D71E8" w:rsidP="1CD8E600">
      <w:pPr>
        <w:spacing w:after="480"/>
        <w:rPr>
          <w:rFonts w:ascii="Century Gothic" w:eastAsia="Century Gothic" w:hAnsi="Century Gothic" w:cs="Century Gothic"/>
        </w:rPr>
      </w:pPr>
      <w:r w:rsidRPr="4F47708F">
        <w:rPr>
          <w:rFonts w:ascii="Century Gothic" w:eastAsia="Century Gothic" w:hAnsi="Century Gothic" w:cs="Century Gothic"/>
        </w:rPr>
        <w:t>This details how we intend to spend our pupil premium (and recovery premium</w:t>
      </w:r>
      <w:r w:rsidR="00A112B5" w:rsidRPr="4F47708F">
        <w:rPr>
          <w:rFonts w:ascii="Century Gothic" w:eastAsia="Century Gothic" w:hAnsi="Century Gothic" w:cs="Century Gothic"/>
        </w:rPr>
        <w:t>)</w:t>
      </w:r>
      <w:r w:rsidRPr="4F47708F">
        <w:rPr>
          <w:rFonts w:ascii="Century Gothic" w:eastAsia="Century Gothic" w:hAnsi="Century Gothic" w:cs="Century Gothic"/>
        </w:rPr>
        <w:t xml:space="preserve"> funding </w:t>
      </w:r>
      <w:r w:rsidRPr="4F47708F">
        <w:rPr>
          <w:rFonts w:ascii="Century Gothic" w:eastAsia="Century Gothic" w:hAnsi="Century Gothic" w:cs="Century Gothic"/>
          <w:b/>
          <w:bCs/>
        </w:rPr>
        <w:t>this academic year</w:t>
      </w:r>
      <w:r w:rsidR="6A7F9AF6" w:rsidRPr="4F47708F">
        <w:rPr>
          <w:rFonts w:ascii="Century Gothic" w:eastAsia="Century Gothic" w:hAnsi="Century Gothic" w:cs="Century Gothic"/>
          <w:b/>
          <w:bCs/>
        </w:rPr>
        <w:t xml:space="preserve"> (202</w:t>
      </w:r>
      <w:r w:rsidR="06EE3487" w:rsidRPr="4F47708F">
        <w:rPr>
          <w:rFonts w:ascii="Century Gothic" w:eastAsia="Century Gothic" w:hAnsi="Century Gothic" w:cs="Century Gothic"/>
          <w:b/>
          <w:bCs/>
        </w:rPr>
        <w:t>5</w:t>
      </w:r>
      <w:r w:rsidR="6A7F9AF6" w:rsidRPr="4F47708F">
        <w:rPr>
          <w:rFonts w:ascii="Century Gothic" w:eastAsia="Century Gothic" w:hAnsi="Century Gothic" w:cs="Century Gothic"/>
          <w:b/>
          <w:bCs/>
        </w:rPr>
        <w:t>-202</w:t>
      </w:r>
      <w:r w:rsidR="1466C3E5" w:rsidRPr="4F47708F">
        <w:rPr>
          <w:rFonts w:ascii="Century Gothic" w:eastAsia="Century Gothic" w:hAnsi="Century Gothic" w:cs="Century Gothic"/>
          <w:b/>
          <w:bCs/>
        </w:rPr>
        <w:t>6</w:t>
      </w:r>
      <w:r w:rsidR="6A7F9AF6" w:rsidRPr="4F47708F">
        <w:rPr>
          <w:rFonts w:ascii="Century Gothic" w:eastAsia="Century Gothic" w:hAnsi="Century Gothic" w:cs="Century Gothic"/>
          <w:b/>
          <w:bCs/>
        </w:rPr>
        <w:t>)</w:t>
      </w:r>
      <w:r w:rsidRPr="4F47708F">
        <w:rPr>
          <w:rFonts w:ascii="Century Gothic" w:eastAsia="Century Gothic" w:hAnsi="Century Gothic" w:cs="Century Gothic"/>
        </w:rPr>
        <w:t xml:space="preserve"> to address the challenges listed above.</w:t>
      </w:r>
    </w:p>
    <w:p w14:paraId="2A7D5514" w14:textId="06D2DADB" w:rsidR="00E66558" w:rsidRDefault="009D71E8" w:rsidP="1CD8E600">
      <w:pPr>
        <w:pStyle w:val="Heading3"/>
        <w:rPr>
          <w:rFonts w:ascii="Century Gothic" w:eastAsia="Century Gothic" w:hAnsi="Century Gothic" w:cs="Century Gothic"/>
          <w:color w:val="036308"/>
        </w:rPr>
      </w:pPr>
      <w:r w:rsidRPr="1CD8E600">
        <w:rPr>
          <w:rFonts w:ascii="Century Gothic" w:eastAsia="Century Gothic" w:hAnsi="Century Gothic" w:cs="Century Gothic"/>
          <w:color w:val="036308"/>
        </w:rPr>
        <w:t xml:space="preserve">Teaching </w:t>
      </w:r>
    </w:p>
    <w:p w14:paraId="2A7D5515" w14:textId="3781F746" w:rsidR="00E66558" w:rsidRDefault="1421AE7A" w:rsidP="57E914DD">
      <w:pPr>
        <w:rPr>
          <w:rFonts w:ascii="Century Gothic" w:eastAsia="Century Gothic" w:hAnsi="Century Gothic" w:cs="Century Gothic"/>
          <w:b/>
          <w:bCs/>
        </w:rPr>
      </w:pPr>
      <w:r w:rsidRPr="57E914DD">
        <w:rPr>
          <w:rFonts w:ascii="Century Gothic" w:eastAsia="Century Gothic" w:hAnsi="Century Gothic" w:cs="Century Gothic"/>
        </w:rPr>
        <w:t xml:space="preserve">Budgeted cost: </w:t>
      </w:r>
      <w:r w:rsidRPr="57E914DD">
        <w:rPr>
          <w:rFonts w:ascii="Century Gothic" w:eastAsia="Century Gothic" w:hAnsi="Century Gothic" w:cs="Century Gothic"/>
          <w:b/>
          <w:bCs/>
        </w:rPr>
        <w:t>£</w:t>
      </w:r>
      <w:r w:rsidR="00C57BD3">
        <w:rPr>
          <w:rFonts w:ascii="Century Gothic" w:eastAsia="Century Gothic" w:hAnsi="Century Gothic" w:cs="Century Gothic"/>
          <w:b/>
          <w:bCs/>
        </w:rPr>
        <w:t>4134</w:t>
      </w:r>
    </w:p>
    <w:tbl>
      <w:tblPr>
        <w:tblW w:w="9485" w:type="dxa"/>
        <w:tblCellMar>
          <w:left w:w="10" w:type="dxa"/>
          <w:right w:w="10" w:type="dxa"/>
        </w:tblCellMar>
        <w:tblLook w:val="04A0" w:firstRow="1" w:lastRow="0" w:firstColumn="1" w:lastColumn="0" w:noHBand="0" w:noVBand="1"/>
      </w:tblPr>
      <w:tblGrid>
        <w:gridCol w:w="3266"/>
        <w:gridCol w:w="4379"/>
        <w:gridCol w:w="1840"/>
      </w:tblGrid>
      <w:tr w:rsidR="00E66558" w14:paraId="2A7D5519" w14:textId="77777777" w:rsidTr="43F0618A">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16"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lastRenderedPageBreak/>
              <w:t>Activity</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17"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Evidence that supports this approach</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18"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Challenge number(s) addressed</w:t>
            </w:r>
          </w:p>
        </w:tc>
      </w:tr>
      <w:tr w:rsidR="376A56F3" w14:paraId="400B17B5" w14:textId="77777777" w:rsidTr="43F0618A">
        <w:trPr>
          <w:trHeight w:val="300"/>
        </w:trPr>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661EF" w14:textId="632BB2EC" w:rsidR="17244697" w:rsidRDefault="4E9E0EDB" w:rsidP="1CD8E600">
            <w:pPr>
              <w:pStyle w:val="TableRow"/>
              <w:rPr>
                <w:rFonts w:ascii="Century Gothic" w:eastAsia="Century Gothic" w:hAnsi="Century Gothic" w:cs="Century Gothic"/>
              </w:rPr>
            </w:pPr>
            <w:r w:rsidRPr="1CD8E600">
              <w:rPr>
                <w:rFonts w:ascii="Century Gothic" w:eastAsia="Century Gothic" w:hAnsi="Century Gothic" w:cs="Century Gothic"/>
                <w:b/>
                <w:bCs/>
              </w:rPr>
              <w:t>High quality teaching and classroom experiences. Professional training programs for all staff and regular sharing of good practice.</w:t>
            </w:r>
            <w:r w:rsidRPr="1CD8E600">
              <w:rPr>
                <w:rFonts w:ascii="Century Gothic" w:eastAsia="Century Gothic" w:hAnsi="Century Gothic" w:cs="Century Gothic"/>
              </w:rPr>
              <w:t xml:space="preserve"> </w:t>
            </w:r>
          </w:p>
          <w:p w14:paraId="761BC528" w14:textId="54397A13" w:rsidR="376A56F3" w:rsidRDefault="376A56F3" w:rsidP="1CD8E600">
            <w:pPr>
              <w:pStyle w:val="TableRow"/>
              <w:rPr>
                <w:rFonts w:ascii="Century Gothic" w:eastAsia="Century Gothic" w:hAnsi="Century Gothic" w:cs="Century Gothic"/>
              </w:rPr>
            </w:pPr>
          </w:p>
          <w:p w14:paraId="7A192C49" w14:textId="7ABE707E" w:rsidR="17244697" w:rsidRDefault="4E9E0EDB" w:rsidP="1CD8E600">
            <w:pPr>
              <w:pStyle w:val="TableRow"/>
              <w:rPr>
                <w:rFonts w:ascii="Century Gothic" w:eastAsia="Century Gothic" w:hAnsi="Century Gothic" w:cs="Century Gothic"/>
              </w:rPr>
            </w:pPr>
            <w:r w:rsidRPr="1CD8E600">
              <w:rPr>
                <w:rFonts w:ascii="Century Gothic" w:eastAsia="Century Gothic" w:hAnsi="Century Gothic" w:cs="Century Gothic"/>
              </w:rPr>
              <w:t>• CPD Programme for all staff supports knowledge and application of strategies to meet a range of needs within the PP cohort</w:t>
            </w:r>
          </w:p>
          <w:p w14:paraId="3EB4D80D" w14:textId="4484C718" w:rsidR="17244697" w:rsidRDefault="4E9E0EDB" w:rsidP="1CD8E600">
            <w:pPr>
              <w:pStyle w:val="TableRow"/>
              <w:rPr>
                <w:rFonts w:ascii="Century Gothic" w:eastAsia="Century Gothic" w:hAnsi="Century Gothic" w:cs="Century Gothic"/>
              </w:rPr>
            </w:pPr>
            <w:r w:rsidRPr="1CD8E600">
              <w:rPr>
                <w:rFonts w:ascii="Century Gothic" w:eastAsia="Century Gothic" w:hAnsi="Century Gothic" w:cs="Century Gothic"/>
              </w:rPr>
              <w:t xml:space="preserve">• Explicitly teaching reading comprehension strategies in all classes </w:t>
            </w:r>
          </w:p>
          <w:p w14:paraId="66D8761E" w14:textId="09190A2C" w:rsidR="17244697" w:rsidRDefault="4E9E0EDB" w:rsidP="1CD8E600">
            <w:pPr>
              <w:pStyle w:val="TableRow"/>
              <w:rPr>
                <w:rFonts w:ascii="Century Gothic" w:eastAsia="Century Gothic" w:hAnsi="Century Gothic" w:cs="Century Gothic"/>
              </w:rPr>
            </w:pPr>
            <w:r w:rsidRPr="1CD8E600">
              <w:rPr>
                <w:rFonts w:ascii="Century Gothic" w:eastAsia="Century Gothic" w:hAnsi="Century Gothic" w:cs="Century Gothic"/>
              </w:rPr>
              <w:t>• Curriculum enrichment through professional visitors such as artists and authors, subject area trips and experiences</w:t>
            </w:r>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6437" w14:textId="4BA969A7" w:rsidR="5DA3D3D1" w:rsidRDefault="4C060143"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rPr>
              <w:t xml:space="preserve">Local School and Community Needs along with the combined experience, expertise and knowledge of our students and setting held by our Staff. </w:t>
            </w:r>
          </w:p>
          <w:p w14:paraId="1B2F8288" w14:textId="59C6A82E" w:rsidR="376A56F3" w:rsidRDefault="376A56F3" w:rsidP="1CD8E600">
            <w:pPr>
              <w:pStyle w:val="TableRowCentered"/>
              <w:jc w:val="left"/>
              <w:rPr>
                <w:rFonts w:ascii="Century Gothic" w:eastAsia="Century Gothic" w:hAnsi="Century Gothic" w:cs="Century Gothic"/>
              </w:rPr>
            </w:pPr>
          </w:p>
          <w:p w14:paraId="28C6229E" w14:textId="207BDFEE" w:rsidR="5DA3D3D1" w:rsidRDefault="4C060143" w:rsidP="1CD8E600">
            <w:pPr>
              <w:pStyle w:val="TableRowCentered"/>
              <w:jc w:val="left"/>
              <w:rPr>
                <w:rFonts w:ascii="Century Gothic" w:eastAsia="Century Gothic" w:hAnsi="Century Gothic" w:cs="Century Gothic"/>
              </w:rPr>
            </w:pPr>
            <w:hyperlink r:id="rId7">
              <w:r w:rsidRPr="1CD8E600">
                <w:rPr>
                  <w:rStyle w:val="Hyperlink"/>
                  <w:rFonts w:ascii="Century Gothic" w:eastAsia="Century Gothic" w:hAnsi="Century Gothic" w:cs="Century Gothic"/>
                </w:rPr>
                <w:t>Reading comprehension strategies | EEF</w:t>
              </w:r>
            </w:hyperlink>
          </w:p>
          <w:p w14:paraId="0732E6A5" w14:textId="0157167A" w:rsidR="376A56F3" w:rsidRDefault="376A56F3" w:rsidP="1CD8E600">
            <w:pPr>
              <w:pStyle w:val="TableRowCentered"/>
              <w:jc w:val="left"/>
              <w:rPr>
                <w:rFonts w:ascii="Century Gothic" w:eastAsia="Century Gothic" w:hAnsi="Century Gothic" w:cs="Century Gothic"/>
              </w:rPr>
            </w:pPr>
          </w:p>
          <w:p w14:paraId="29FDDF21" w14:textId="1313236E" w:rsidR="5DA3D3D1" w:rsidRDefault="4C060143" w:rsidP="1CD8E600">
            <w:pPr>
              <w:pStyle w:val="TableRowCentered"/>
              <w:jc w:val="left"/>
              <w:rPr>
                <w:rFonts w:ascii="Century Gothic" w:eastAsia="Century Gothic" w:hAnsi="Century Gothic" w:cs="Century Gothic"/>
              </w:rPr>
            </w:pPr>
            <w:hyperlink r:id="rId8">
              <w:r w:rsidRPr="1CD8E600">
                <w:rPr>
                  <w:rStyle w:val="Hyperlink"/>
                  <w:rFonts w:ascii="Century Gothic" w:eastAsia="Century Gothic" w:hAnsi="Century Gothic" w:cs="Century Gothic"/>
                </w:rPr>
                <w:t>Aspiration interventions | EEF</w:t>
              </w:r>
            </w:hyperlink>
          </w:p>
          <w:p w14:paraId="236E1988" w14:textId="2EDDC5E6" w:rsidR="376A56F3" w:rsidRDefault="376A56F3" w:rsidP="1CD8E600">
            <w:pPr>
              <w:pStyle w:val="TableRowCentered"/>
              <w:jc w:val="left"/>
              <w:rPr>
                <w:rFonts w:ascii="Century Gothic" w:eastAsia="Century Gothic" w:hAnsi="Century Gothic" w:cs="Century Gothic"/>
              </w:rPr>
            </w:pPr>
          </w:p>
          <w:p w14:paraId="7144C388" w14:textId="6FD07E07" w:rsidR="5DA3D3D1" w:rsidRDefault="4C060143" w:rsidP="1CD8E600">
            <w:pPr>
              <w:pStyle w:val="TableRowCentered"/>
              <w:jc w:val="left"/>
              <w:rPr>
                <w:rFonts w:ascii="Century Gothic" w:eastAsia="Century Gothic" w:hAnsi="Century Gothic" w:cs="Century Gothic"/>
              </w:rPr>
            </w:pPr>
            <w:hyperlink r:id="rId9">
              <w:r w:rsidRPr="1CD8E600">
                <w:rPr>
                  <w:rStyle w:val="Hyperlink"/>
                  <w:rFonts w:ascii="Century Gothic" w:eastAsia="Century Gothic" w:hAnsi="Century Gothic" w:cs="Century Gothic"/>
                </w:rPr>
                <w:t>Oral language interventions | EEF</w:t>
              </w:r>
            </w:hyperlink>
          </w:p>
          <w:p w14:paraId="7862D0F0" w14:textId="35383633" w:rsidR="376A56F3" w:rsidRDefault="376A56F3" w:rsidP="1CD8E600">
            <w:pPr>
              <w:pStyle w:val="TableRowCentered"/>
              <w:jc w:val="left"/>
              <w:rPr>
                <w:rFonts w:ascii="Century Gothic" w:eastAsia="Century Gothic" w:hAnsi="Century Gothic" w:cs="Century Gothic"/>
              </w:rPr>
            </w:pPr>
          </w:p>
          <w:p w14:paraId="69DB8A09" w14:textId="125A9C9F" w:rsidR="5DA3D3D1" w:rsidRDefault="4C060143" w:rsidP="1CD8E600">
            <w:pPr>
              <w:pStyle w:val="TableRowCentered"/>
              <w:jc w:val="left"/>
              <w:rPr>
                <w:rFonts w:ascii="Century Gothic" w:eastAsia="Century Gothic" w:hAnsi="Century Gothic" w:cs="Century Gothic"/>
              </w:rPr>
            </w:pPr>
            <w:hyperlink r:id="rId10">
              <w:r w:rsidRPr="1CD8E600">
                <w:rPr>
                  <w:rStyle w:val="Hyperlink"/>
                  <w:rFonts w:ascii="Century Gothic" w:eastAsia="Century Gothic" w:hAnsi="Century Gothic" w:cs="Century Gothic"/>
                </w:rPr>
                <w:t>One to one tuition | EEF</w:t>
              </w:r>
            </w:hyperlink>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501C" w14:textId="6CCF9801" w:rsidR="5DA3D3D1" w:rsidRDefault="4C060143"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1, 2, 3, 4, 5, 6</w:t>
            </w:r>
          </w:p>
        </w:tc>
      </w:tr>
      <w:tr w:rsidR="00E66558" w14:paraId="2A7D551D" w14:textId="77777777" w:rsidTr="43F0618A">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A" w14:textId="3E92BB6D" w:rsidR="00E66558" w:rsidRDefault="661D4CAE" w:rsidP="4F47708F">
            <w:pPr>
              <w:pStyle w:val="TableRow"/>
              <w:spacing w:line="259" w:lineRule="auto"/>
            </w:pPr>
            <w:proofErr w:type="spellStart"/>
            <w:r w:rsidRPr="4F47708F">
              <w:rPr>
                <w:rFonts w:ascii="Century Gothic" w:eastAsia="Century Gothic" w:hAnsi="Century Gothic" w:cs="Century Gothic"/>
                <w:b/>
                <w:bCs/>
              </w:rPr>
              <w:t>Tute</w:t>
            </w:r>
            <w:proofErr w:type="spellEnd"/>
          </w:p>
        </w:tc>
        <w:tc>
          <w:tcPr>
            <w:tcW w:w="4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3E1FE" w14:textId="3A0AE3C7" w:rsidR="00712D3C" w:rsidRDefault="5A2ED961" w:rsidP="1CD8E600">
            <w:pPr>
              <w:pStyle w:val="TableRowCentered"/>
              <w:jc w:val="left"/>
              <w:rPr>
                <w:rFonts w:ascii="Century Gothic" w:eastAsia="Century Gothic" w:hAnsi="Century Gothic" w:cs="Century Gothic"/>
              </w:rPr>
            </w:pPr>
            <w:r w:rsidRPr="1CD8E600">
              <w:rPr>
                <w:rFonts w:ascii="Century Gothic" w:eastAsia="Century Gothic" w:hAnsi="Century Gothic" w:cs="Century Gothic"/>
                <w:b/>
                <w:bCs/>
              </w:rPr>
              <w:t>Rationale:</w:t>
            </w:r>
            <w:r w:rsidRPr="1CD8E600">
              <w:rPr>
                <w:rFonts w:ascii="Century Gothic" w:eastAsia="Century Gothic" w:hAnsi="Century Gothic" w:cs="Century Gothic"/>
              </w:rPr>
              <w:t xml:space="preserve"> Remote learning, mainly in English and Maths but does on occasions include Science. This is used for those pupils who struggle to access education on site, for a variety of reasons. This is sometimes used on a short-term basis until work is done to encourage pupils to access education </w:t>
            </w:r>
            <w:r w:rsidR="176275BA" w:rsidRPr="1CD8E600">
              <w:rPr>
                <w:rFonts w:ascii="Century Gothic" w:eastAsia="Century Gothic" w:hAnsi="Century Gothic" w:cs="Century Gothic"/>
              </w:rPr>
              <w:t>onsite or</w:t>
            </w:r>
            <w:r w:rsidRPr="1CD8E600">
              <w:rPr>
                <w:rFonts w:ascii="Century Gothic" w:eastAsia="Century Gothic" w:hAnsi="Century Gothic" w:cs="Century Gothic"/>
              </w:rPr>
              <w:t xml:space="preserve"> can also be used on a </w:t>
            </w:r>
            <w:r w:rsidR="54F2415C" w:rsidRPr="1CD8E600">
              <w:rPr>
                <w:rFonts w:ascii="Century Gothic" w:eastAsia="Century Gothic" w:hAnsi="Century Gothic" w:cs="Century Gothic"/>
              </w:rPr>
              <w:t>longer-term</w:t>
            </w:r>
            <w:r w:rsidRPr="1CD8E600">
              <w:rPr>
                <w:rFonts w:ascii="Century Gothic" w:eastAsia="Century Gothic" w:hAnsi="Century Gothic" w:cs="Century Gothic"/>
              </w:rPr>
              <w:t xml:space="preserve"> basis.</w:t>
            </w:r>
          </w:p>
          <w:p w14:paraId="03B84644" w14:textId="77777777" w:rsidR="00712D3C" w:rsidRDefault="00712D3C" w:rsidP="1CD8E600">
            <w:pPr>
              <w:pStyle w:val="TableRowCentered"/>
              <w:jc w:val="left"/>
              <w:rPr>
                <w:rFonts w:ascii="Century Gothic" w:eastAsia="Century Gothic" w:hAnsi="Century Gothic" w:cs="Century Gothic"/>
              </w:rPr>
            </w:pPr>
          </w:p>
          <w:p w14:paraId="2A7D551B" w14:textId="4F6C51F4" w:rsidR="00E66558" w:rsidRDefault="0FCB9DB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b/>
                <w:bCs/>
              </w:rPr>
              <w:t>Impact:</w:t>
            </w:r>
            <w:r w:rsidRPr="1CD8E600">
              <w:rPr>
                <w:rFonts w:ascii="Century Gothic" w:eastAsia="Century Gothic" w:hAnsi="Century Gothic" w:cs="Century Gothic"/>
              </w:rPr>
              <w:t xml:space="preserve"> This provision has been successful in engaging pupils through remote learning when they could not manage this on site, for a variety of reasons.</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2B56C" w14:textId="023F455B" w:rsidR="00E66558" w:rsidRDefault="0F64F1AC" w:rsidP="1CD8E600">
            <w:pPr>
              <w:pStyle w:val="TableRowCentered"/>
              <w:jc w:val="left"/>
              <w:rPr>
                <w:rFonts w:ascii="Century Gothic" w:eastAsia="Century Gothic" w:hAnsi="Century Gothic" w:cs="Century Gothic"/>
                <w:sz w:val="22"/>
                <w:szCs w:val="22"/>
              </w:rPr>
            </w:pPr>
            <w:r w:rsidRPr="4F47708F">
              <w:rPr>
                <w:rFonts w:ascii="Century Gothic" w:eastAsia="Century Gothic" w:hAnsi="Century Gothic" w:cs="Century Gothic"/>
                <w:sz w:val="22"/>
                <w:szCs w:val="22"/>
              </w:rPr>
              <w:t>English, Maths, PSHE Package- £1</w:t>
            </w:r>
            <w:r w:rsidR="6A759472" w:rsidRPr="4F47708F">
              <w:rPr>
                <w:rFonts w:ascii="Century Gothic" w:eastAsia="Century Gothic" w:hAnsi="Century Gothic" w:cs="Century Gothic"/>
                <w:sz w:val="22"/>
                <w:szCs w:val="22"/>
              </w:rPr>
              <w:t>0</w:t>
            </w:r>
            <w:r w:rsidRPr="4F47708F">
              <w:rPr>
                <w:rFonts w:ascii="Century Gothic" w:eastAsia="Century Gothic" w:hAnsi="Century Gothic" w:cs="Century Gothic"/>
                <w:sz w:val="22"/>
                <w:szCs w:val="22"/>
              </w:rPr>
              <w:t>6 per week</w:t>
            </w:r>
          </w:p>
          <w:p w14:paraId="6E018D08" w14:textId="77777777" w:rsidR="008F1035" w:rsidRDefault="008F1035" w:rsidP="1CD8E600">
            <w:pPr>
              <w:pStyle w:val="TableRowCentered"/>
              <w:jc w:val="left"/>
              <w:rPr>
                <w:rFonts w:ascii="Century Gothic" w:eastAsia="Century Gothic" w:hAnsi="Century Gothic" w:cs="Century Gothic"/>
                <w:sz w:val="22"/>
                <w:szCs w:val="22"/>
              </w:rPr>
            </w:pPr>
          </w:p>
          <w:p w14:paraId="7AFBF821" w14:textId="01CAA75B" w:rsidR="008F1035" w:rsidRDefault="0F095267" w:rsidP="1CD8E600">
            <w:pPr>
              <w:pStyle w:val="TableRowCentered"/>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1x PP</w:t>
            </w:r>
            <w:r w:rsidR="3F21D720" w:rsidRPr="43F0618A">
              <w:rPr>
                <w:rFonts w:ascii="Century Gothic" w:eastAsia="Century Gothic" w:hAnsi="Century Gothic" w:cs="Century Gothic"/>
                <w:sz w:val="22"/>
                <w:szCs w:val="22"/>
              </w:rPr>
              <w:t xml:space="preserve"> </w:t>
            </w:r>
            <w:r w:rsidR="008F1035" w:rsidRPr="43F0618A">
              <w:rPr>
                <w:rFonts w:ascii="Century Gothic" w:eastAsia="Century Gothic" w:hAnsi="Century Gothic" w:cs="Century Gothic"/>
                <w:sz w:val="22"/>
                <w:szCs w:val="22"/>
              </w:rPr>
              <w:t xml:space="preserve">student throughout the school year- </w:t>
            </w:r>
            <w:r w:rsidR="008F1035" w:rsidRPr="43F0618A">
              <w:rPr>
                <w:rFonts w:ascii="Century Gothic" w:eastAsia="Century Gothic" w:hAnsi="Century Gothic" w:cs="Century Gothic"/>
                <w:b/>
                <w:bCs/>
                <w:sz w:val="22"/>
                <w:szCs w:val="22"/>
              </w:rPr>
              <w:t>£</w:t>
            </w:r>
            <w:r w:rsidR="00C57BD3" w:rsidRPr="43F0618A">
              <w:rPr>
                <w:rFonts w:ascii="Century Gothic" w:eastAsia="Century Gothic" w:hAnsi="Century Gothic" w:cs="Century Gothic"/>
                <w:b/>
                <w:bCs/>
                <w:sz w:val="22"/>
                <w:szCs w:val="22"/>
              </w:rPr>
              <w:t>4134</w:t>
            </w:r>
          </w:p>
          <w:p w14:paraId="37957595" w14:textId="77777777" w:rsidR="00C666A5" w:rsidRDefault="00C666A5" w:rsidP="1CD8E600">
            <w:pPr>
              <w:pStyle w:val="TableRowCentered"/>
              <w:jc w:val="left"/>
              <w:rPr>
                <w:rFonts w:ascii="Century Gothic" w:eastAsia="Century Gothic" w:hAnsi="Century Gothic" w:cs="Century Gothic"/>
                <w:sz w:val="22"/>
                <w:szCs w:val="22"/>
              </w:rPr>
            </w:pPr>
          </w:p>
          <w:p w14:paraId="2A7D551C" w14:textId="7F75219B" w:rsidR="00C666A5" w:rsidRDefault="1B0380A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w:t>
            </w:r>
            <w:r w:rsidR="656901CD"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2,</w:t>
            </w:r>
            <w:r w:rsidR="6BE45827"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6</w:t>
            </w:r>
          </w:p>
        </w:tc>
      </w:tr>
    </w:tbl>
    <w:p w14:paraId="2A7D5522" w14:textId="77777777" w:rsidR="00E66558" w:rsidRDefault="00E66558" w:rsidP="1CD8E600">
      <w:pPr>
        <w:rPr>
          <w:rFonts w:ascii="Century Gothic" w:eastAsia="Century Gothic" w:hAnsi="Century Gothic" w:cs="Century Gothic"/>
        </w:rPr>
      </w:pPr>
    </w:p>
    <w:p w14:paraId="2A7D5523" w14:textId="7E330850" w:rsidR="00E66558" w:rsidRPr="00AA355B" w:rsidRDefault="009D71E8" w:rsidP="1CD8E600">
      <w:pPr>
        <w:pStyle w:val="Heading3"/>
        <w:rPr>
          <w:rFonts w:ascii="Century Gothic" w:eastAsia="Century Gothic" w:hAnsi="Century Gothic" w:cs="Century Gothic"/>
          <w:color w:val="036308"/>
        </w:rPr>
      </w:pPr>
      <w:r w:rsidRPr="1CD8E600">
        <w:rPr>
          <w:rFonts w:ascii="Century Gothic" w:eastAsia="Century Gothic" w:hAnsi="Century Gothic" w:cs="Century Gothic"/>
          <w:color w:val="036308"/>
        </w:rPr>
        <w:lastRenderedPageBreak/>
        <w:t xml:space="preserve">Targeted academic support </w:t>
      </w:r>
    </w:p>
    <w:p w14:paraId="2A7D5524" w14:textId="1BF3A8AC" w:rsidR="00E66558" w:rsidRDefault="1421AE7A" w:rsidP="57E914DD">
      <w:pPr>
        <w:rPr>
          <w:rFonts w:ascii="Century Gothic" w:eastAsia="Century Gothic" w:hAnsi="Century Gothic" w:cs="Century Gothic"/>
          <w:b/>
          <w:bCs/>
        </w:rPr>
      </w:pPr>
      <w:r w:rsidRPr="57E914DD">
        <w:rPr>
          <w:rFonts w:ascii="Century Gothic" w:eastAsia="Century Gothic" w:hAnsi="Century Gothic" w:cs="Century Gothic"/>
        </w:rPr>
        <w:t xml:space="preserve">Budgeted cost: </w:t>
      </w:r>
      <w:r w:rsidRPr="57E914DD">
        <w:rPr>
          <w:rFonts w:ascii="Century Gothic" w:eastAsia="Century Gothic" w:hAnsi="Century Gothic" w:cs="Century Gothic"/>
          <w:b/>
          <w:bCs/>
        </w:rPr>
        <w:t>£</w:t>
      </w:r>
      <w:r w:rsidR="7230A43F" w:rsidRPr="57E914DD">
        <w:rPr>
          <w:rFonts w:ascii="Century Gothic" w:eastAsia="Century Gothic" w:hAnsi="Century Gothic" w:cs="Century Gothic"/>
          <w:b/>
          <w:bCs/>
        </w:rPr>
        <w:t>6</w:t>
      </w:r>
      <w:r w:rsidR="20856A45" w:rsidRPr="57E914DD">
        <w:rPr>
          <w:rFonts w:ascii="Century Gothic" w:eastAsia="Century Gothic" w:hAnsi="Century Gothic" w:cs="Century Gothic"/>
          <w:b/>
          <w:bCs/>
        </w:rPr>
        <w:t>,</w:t>
      </w:r>
      <w:r w:rsidR="7E868F4A" w:rsidRPr="57E914DD">
        <w:rPr>
          <w:rFonts w:ascii="Century Gothic" w:eastAsia="Century Gothic" w:hAnsi="Century Gothic" w:cs="Century Gothic"/>
          <w:b/>
          <w:bCs/>
        </w:rPr>
        <w:t>600</w:t>
      </w:r>
    </w:p>
    <w:tbl>
      <w:tblPr>
        <w:tblW w:w="9486" w:type="dxa"/>
        <w:tblCellMar>
          <w:left w:w="10" w:type="dxa"/>
          <w:right w:w="10" w:type="dxa"/>
        </w:tblCellMar>
        <w:tblLook w:val="04A0" w:firstRow="1" w:lastRow="0" w:firstColumn="1" w:lastColumn="0" w:noHBand="0" w:noVBand="1"/>
      </w:tblPr>
      <w:tblGrid>
        <w:gridCol w:w="2688"/>
        <w:gridCol w:w="4695"/>
        <w:gridCol w:w="2103"/>
      </w:tblGrid>
      <w:tr w:rsidR="00E66558" w14:paraId="2A7D5528" w14:textId="77777777" w:rsidTr="43F0618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25"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Activity</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26"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Evidence that supports this approach</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27"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Challenge number(s) addressed</w:t>
            </w:r>
          </w:p>
        </w:tc>
      </w:tr>
      <w:tr w:rsidR="00E66558" w14:paraId="2A7D5530" w14:textId="77777777" w:rsidTr="43F0618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ECC8E" w14:textId="2BB16BCD" w:rsidR="00E66558" w:rsidRDefault="3D90ED24" w:rsidP="57E914DD">
            <w:pPr>
              <w:pStyle w:val="TableRow"/>
              <w:rPr>
                <w:rFonts w:ascii="Century Gothic" w:eastAsia="Century Gothic" w:hAnsi="Century Gothic" w:cs="Century Gothic"/>
                <w:b/>
                <w:bCs/>
                <w:color w:val="0D0D0D" w:themeColor="text1" w:themeTint="F2"/>
              </w:rPr>
            </w:pPr>
            <w:r w:rsidRPr="57E914DD">
              <w:rPr>
                <w:rFonts w:ascii="Century Gothic" w:eastAsia="Century Gothic" w:hAnsi="Century Gothic" w:cs="Century Gothic"/>
                <w:b/>
                <w:bCs/>
                <w:color w:val="0D0D0D" w:themeColor="text1" w:themeTint="F2"/>
              </w:rPr>
              <w:t>Targeted</w:t>
            </w:r>
            <w:r w:rsidR="59E7563B" w:rsidRPr="57E914DD">
              <w:rPr>
                <w:rFonts w:ascii="Century Gothic" w:eastAsia="Century Gothic" w:hAnsi="Century Gothic" w:cs="Century Gothic"/>
                <w:b/>
                <w:bCs/>
                <w:color w:val="0D0D0D" w:themeColor="text1" w:themeTint="F2"/>
              </w:rPr>
              <w:t xml:space="preserve"> 1:1</w:t>
            </w:r>
            <w:r w:rsidRPr="57E914DD">
              <w:rPr>
                <w:rFonts w:ascii="Century Gothic" w:eastAsia="Century Gothic" w:hAnsi="Century Gothic" w:cs="Century Gothic"/>
                <w:b/>
                <w:bCs/>
                <w:color w:val="0D0D0D" w:themeColor="text1" w:themeTint="F2"/>
              </w:rPr>
              <w:t xml:space="preserve"> </w:t>
            </w:r>
            <w:bookmarkStart w:id="18" w:name="_Int_iGeSL2YD"/>
            <w:proofErr w:type="gramStart"/>
            <w:r w:rsidRPr="57E914DD">
              <w:rPr>
                <w:rFonts w:ascii="Century Gothic" w:eastAsia="Century Gothic" w:hAnsi="Century Gothic" w:cs="Century Gothic"/>
                <w:b/>
                <w:bCs/>
                <w:color w:val="0D0D0D" w:themeColor="text1" w:themeTint="F2"/>
              </w:rPr>
              <w:t>interventions</w:t>
            </w:r>
            <w:bookmarkEnd w:id="18"/>
            <w:proofErr w:type="gramEnd"/>
            <w:r w:rsidRPr="57E914DD">
              <w:rPr>
                <w:rFonts w:ascii="Century Gothic" w:eastAsia="Century Gothic" w:hAnsi="Century Gothic" w:cs="Century Gothic"/>
                <w:b/>
                <w:bCs/>
                <w:color w:val="0D0D0D" w:themeColor="text1" w:themeTint="F2"/>
              </w:rPr>
              <w:t xml:space="preserve"> to support literacy and numeracy</w:t>
            </w:r>
          </w:p>
          <w:p w14:paraId="2A7D552D" w14:textId="5A3A141D" w:rsidR="00E66558" w:rsidRDefault="00E66558" w:rsidP="57E914DD">
            <w:pPr>
              <w:pStyle w:val="TableRow"/>
              <w:rPr>
                <w:rFonts w:ascii="Century Gothic" w:eastAsia="Century Gothic" w:hAnsi="Century Gothic" w:cs="Century Gothic"/>
                <w:b/>
                <w:bCs/>
              </w:rPr>
            </w:pP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2F301" w14:textId="39194FFD" w:rsidR="00853B96" w:rsidRDefault="109D2EA7" w:rsidP="1CD8E600">
            <w:pPr>
              <w:pStyle w:val="TableRowCentered"/>
              <w:jc w:val="left"/>
              <w:rPr>
                <w:rFonts w:ascii="Century Gothic" w:eastAsia="Century Gothic" w:hAnsi="Century Gothic" w:cs="Century Gothic"/>
              </w:rPr>
            </w:pPr>
            <w:r w:rsidRPr="57E914DD">
              <w:rPr>
                <w:rFonts w:ascii="Century Gothic" w:eastAsia="Century Gothic" w:hAnsi="Century Gothic" w:cs="Century Gothic"/>
                <w:b/>
                <w:bCs/>
              </w:rPr>
              <w:t>Rationale:</w:t>
            </w:r>
            <w:r w:rsidRPr="57E914DD">
              <w:rPr>
                <w:rFonts w:ascii="Century Gothic" w:eastAsia="Century Gothic" w:hAnsi="Century Gothic" w:cs="Century Gothic"/>
              </w:rPr>
              <w:t xml:space="preserve"> </w:t>
            </w:r>
            <w:r w:rsidR="374A9921" w:rsidRPr="57E914DD">
              <w:rPr>
                <w:rFonts w:ascii="Century Gothic" w:eastAsia="Century Gothic" w:hAnsi="Century Gothic" w:cs="Century Gothic"/>
              </w:rPr>
              <w:t xml:space="preserve">We use assessment to </w:t>
            </w:r>
            <w:r w:rsidR="44DF39C2" w:rsidRPr="57E914DD">
              <w:rPr>
                <w:rFonts w:ascii="Century Gothic" w:eastAsia="Century Gothic" w:hAnsi="Century Gothic" w:cs="Century Gothic"/>
              </w:rPr>
              <w:t xml:space="preserve">identify </w:t>
            </w:r>
            <w:r w:rsidR="374A9921" w:rsidRPr="57E914DD">
              <w:rPr>
                <w:rFonts w:ascii="Century Gothic" w:eastAsia="Century Gothic" w:hAnsi="Century Gothic" w:cs="Century Gothic"/>
              </w:rPr>
              <w:t xml:space="preserve">any gaps in a </w:t>
            </w:r>
            <w:r w:rsidR="7A472318" w:rsidRPr="57E914DD">
              <w:rPr>
                <w:rFonts w:ascii="Century Gothic" w:eastAsia="Century Gothic" w:hAnsi="Century Gothic" w:cs="Century Gothic"/>
              </w:rPr>
              <w:t>student's</w:t>
            </w:r>
            <w:r w:rsidR="374A9921" w:rsidRPr="57E914DD">
              <w:rPr>
                <w:rFonts w:ascii="Century Gothic" w:eastAsia="Century Gothic" w:hAnsi="Century Gothic" w:cs="Century Gothic"/>
              </w:rPr>
              <w:t xml:space="preserve"> </w:t>
            </w:r>
            <w:r w:rsidR="2A06D65F" w:rsidRPr="57E914DD">
              <w:rPr>
                <w:rFonts w:ascii="Century Gothic" w:eastAsia="Century Gothic" w:hAnsi="Century Gothic" w:cs="Century Gothic"/>
              </w:rPr>
              <w:t>knowledge</w:t>
            </w:r>
            <w:r w:rsidR="7517EC3D" w:rsidRPr="57E914DD">
              <w:rPr>
                <w:rFonts w:ascii="Century Gothic" w:eastAsia="Century Gothic" w:hAnsi="Century Gothic" w:cs="Century Gothic"/>
              </w:rPr>
              <w:t>, if gaps are identified then we will refer the student for an intervention to</w:t>
            </w:r>
            <w:r w:rsidR="41C4C58B" w:rsidRPr="57E914DD">
              <w:rPr>
                <w:rFonts w:ascii="Century Gothic" w:eastAsia="Century Gothic" w:hAnsi="Century Gothic" w:cs="Century Gothic"/>
              </w:rPr>
              <w:t xml:space="preserve"> remove barriers to curriculum access and improve independence</w:t>
            </w:r>
          </w:p>
          <w:p w14:paraId="33E67707" w14:textId="77777777" w:rsidR="00853B96" w:rsidRDefault="00853B96" w:rsidP="1CD8E600">
            <w:pPr>
              <w:pStyle w:val="TableRowCentered"/>
              <w:jc w:val="left"/>
              <w:rPr>
                <w:rFonts w:ascii="Century Gothic" w:eastAsia="Century Gothic" w:hAnsi="Century Gothic" w:cs="Century Gothic"/>
              </w:rPr>
            </w:pPr>
          </w:p>
          <w:p w14:paraId="2A7D552E" w14:textId="6C83D85C" w:rsidR="00E66558" w:rsidRDefault="109D2EA7" w:rsidP="1CD8E600">
            <w:pPr>
              <w:pStyle w:val="TableRowCentered"/>
              <w:jc w:val="left"/>
              <w:rPr>
                <w:rFonts w:ascii="Century Gothic" w:eastAsia="Century Gothic" w:hAnsi="Century Gothic" w:cs="Century Gothic"/>
              </w:rPr>
            </w:pPr>
            <w:r w:rsidRPr="57E914DD">
              <w:rPr>
                <w:rFonts w:ascii="Century Gothic" w:eastAsia="Century Gothic" w:hAnsi="Century Gothic" w:cs="Century Gothic"/>
                <w:b/>
                <w:bCs/>
              </w:rPr>
              <w:t>Impact:</w:t>
            </w:r>
            <w:r w:rsidRPr="57E914DD">
              <w:rPr>
                <w:rFonts w:ascii="Century Gothic" w:eastAsia="Century Gothic" w:hAnsi="Century Gothic" w:cs="Century Gothic"/>
              </w:rPr>
              <w:t xml:space="preserve"> </w:t>
            </w:r>
            <w:r w:rsidR="26F97C94" w:rsidRPr="57E914DD">
              <w:rPr>
                <w:rFonts w:ascii="Century Gothic" w:eastAsia="Century Gothic" w:hAnsi="Century Gothic" w:cs="Century Gothic"/>
              </w:rPr>
              <w:t xml:space="preserve">1:1 </w:t>
            </w:r>
            <w:proofErr w:type="gramStart"/>
            <w:r w:rsidR="26F97C94" w:rsidRPr="57E914DD">
              <w:rPr>
                <w:rFonts w:ascii="Century Gothic" w:eastAsia="Century Gothic" w:hAnsi="Century Gothic" w:cs="Century Gothic"/>
              </w:rPr>
              <w:t>interventions</w:t>
            </w:r>
            <w:proofErr w:type="gramEnd"/>
            <w:r w:rsidR="26F97C94" w:rsidRPr="57E914DD">
              <w:rPr>
                <w:rFonts w:ascii="Century Gothic" w:eastAsia="Century Gothic" w:hAnsi="Century Gothic" w:cs="Century Gothic"/>
              </w:rPr>
              <w:t xml:space="preserve"> have been successful in </w:t>
            </w:r>
            <w:r w:rsidR="7D883F29" w:rsidRPr="57E914DD">
              <w:rPr>
                <w:rFonts w:ascii="Century Gothic" w:eastAsia="Century Gothic" w:hAnsi="Century Gothic" w:cs="Century Gothic"/>
              </w:rPr>
              <w:t xml:space="preserve">building confidence in and </w:t>
            </w:r>
            <w:r w:rsidR="26F97C94" w:rsidRPr="57E914DD">
              <w:rPr>
                <w:rFonts w:ascii="Century Gothic" w:eastAsia="Century Gothic" w:hAnsi="Century Gothic" w:cs="Century Gothic"/>
              </w:rPr>
              <w:t xml:space="preserve">engaging </w:t>
            </w:r>
            <w:r w:rsidR="25AA42F2" w:rsidRPr="57E914DD">
              <w:rPr>
                <w:rFonts w:ascii="Century Gothic" w:eastAsia="Century Gothic" w:hAnsi="Century Gothic" w:cs="Century Gothic"/>
              </w:rPr>
              <w:t>disadvantaged</w:t>
            </w:r>
            <w:r w:rsidR="26F97C94" w:rsidRPr="57E914DD">
              <w:rPr>
                <w:rFonts w:ascii="Century Gothic" w:eastAsia="Century Gothic" w:hAnsi="Century Gothic" w:cs="Century Gothic"/>
              </w:rPr>
              <w:t xml:space="preserve"> students who have </w:t>
            </w:r>
            <w:r w:rsidR="2F5D0591" w:rsidRPr="57E914DD">
              <w:rPr>
                <w:rFonts w:ascii="Century Gothic" w:eastAsia="Century Gothic" w:hAnsi="Century Gothic" w:cs="Century Gothic"/>
              </w:rPr>
              <w:t>significant barriers in numeracy and literacy.</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73F5D" w14:textId="22F9866C" w:rsidR="7B3D1F70" w:rsidRDefault="23DA66E6" w:rsidP="43F0618A">
            <w:pPr>
              <w:shd w:val="clear" w:color="auto" w:fill="FFFFFF" w:themeFill="background1"/>
              <w:spacing w:after="0"/>
              <w:rPr>
                <w:rFonts w:ascii="Century Gothic" w:eastAsia="Century Gothic" w:hAnsi="Century Gothic" w:cs="Century Gothic"/>
                <w:b/>
                <w:bCs/>
                <w:color w:val="000000" w:themeColor="text1"/>
              </w:rPr>
            </w:pPr>
            <w:r w:rsidRPr="43F0618A">
              <w:rPr>
                <w:rFonts w:ascii="Century Gothic" w:eastAsia="Century Gothic" w:hAnsi="Century Gothic" w:cs="Century Gothic"/>
                <w:color w:val="000000" w:themeColor="text1"/>
              </w:rPr>
              <w:t>Staffing cost -</w:t>
            </w:r>
            <w:r w:rsidR="06F1FE95" w:rsidRPr="43F0618A">
              <w:rPr>
                <w:rFonts w:ascii="Century Gothic" w:eastAsia="Century Gothic" w:hAnsi="Century Gothic" w:cs="Century Gothic"/>
                <w:b/>
                <w:bCs/>
                <w:color w:val="000000" w:themeColor="text1"/>
              </w:rPr>
              <w:t>£6,</w:t>
            </w:r>
            <w:r w:rsidR="1BE8743D" w:rsidRPr="43F0618A">
              <w:rPr>
                <w:rFonts w:ascii="Century Gothic" w:eastAsia="Century Gothic" w:hAnsi="Century Gothic" w:cs="Century Gothic"/>
                <w:b/>
                <w:bCs/>
                <w:color w:val="000000" w:themeColor="text1"/>
              </w:rPr>
              <w:t>6</w:t>
            </w:r>
            <w:r w:rsidR="06F1FE95" w:rsidRPr="43F0618A">
              <w:rPr>
                <w:rFonts w:ascii="Century Gothic" w:eastAsia="Century Gothic" w:hAnsi="Century Gothic" w:cs="Century Gothic"/>
                <w:b/>
                <w:bCs/>
                <w:color w:val="000000" w:themeColor="text1"/>
              </w:rPr>
              <w:t>00</w:t>
            </w:r>
            <w:r w:rsidR="7B276EA0" w:rsidRPr="43F0618A">
              <w:rPr>
                <w:rFonts w:ascii="Century Gothic" w:eastAsia="Century Gothic" w:hAnsi="Century Gothic" w:cs="Century Gothic"/>
                <w:b/>
                <w:bCs/>
                <w:color w:val="000000" w:themeColor="text1"/>
              </w:rPr>
              <w:t xml:space="preserve"> </w:t>
            </w:r>
          </w:p>
          <w:p w14:paraId="75B45F4D" w14:textId="54B7C527" w:rsidR="57E914DD" w:rsidRDefault="57E914DD" w:rsidP="57E914DD">
            <w:pPr>
              <w:pStyle w:val="TableRowCentered"/>
              <w:jc w:val="left"/>
              <w:rPr>
                <w:rFonts w:ascii="Century Gothic" w:eastAsia="Century Gothic" w:hAnsi="Century Gothic" w:cs="Century Gothic"/>
                <w:sz w:val="22"/>
                <w:szCs w:val="22"/>
                <w:highlight w:val="yellow"/>
              </w:rPr>
            </w:pPr>
          </w:p>
          <w:p w14:paraId="1D94DBE2" w14:textId="77777777" w:rsidR="00C666A5" w:rsidRDefault="00C666A5" w:rsidP="1CD8E600">
            <w:pPr>
              <w:pStyle w:val="TableRowCentered"/>
              <w:jc w:val="left"/>
              <w:rPr>
                <w:rFonts w:ascii="Century Gothic" w:eastAsia="Century Gothic" w:hAnsi="Century Gothic" w:cs="Century Gothic"/>
                <w:sz w:val="22"/>
                <w:szCs w:val="22"/>
              </w:rPr>
            </w:pPr>
          </w:p>
          <w:p w14:paraId="7D4DC1A3" w14:textId="2C8AAD9C" w:rsidR="57E914DD" w:rsidRDefault="57E914DD" w:rsidP="57E914DD">
            <w:pPr>
              <w:pStyle w:val="TableRowCentered"/>
              <w:jc w:val="left"/>
              <w:rPr>
                <w:rFonts w:ascii="Century Gothic" w:eastAsia="Century Gothic" w:hAnsi="Century Gothic" w:cs="Century Gothic"/>
                <w:sz w:val="22"/>
                <w:szCs w:val="22"/>
              </w:rPr>
            </w:pPr>
          </w:p>
          <w:p w14:paraId="214CA71A" w14:textId="08803FEF" w:rsidR="57E914DD" w:rsidRDefault="57E914DD" w:rsidP="57E914DD">
            <w:pPr>
              <w:pStyle w:val="TableRowCentered"/>
              <w:jc w:val="left"/>
              <w:rPr>
                <w:rFonts w:ascii="Century Gothic" w:eastAsia="Century Gothic" w:hAnsi="Century Gothic" w:cs="Century Gothic"/>
                <w:sz w:val="22"/>
                <w:szCs w:val="22"/>
              </w:rPr>
            </w:pPr>
          </w:p>
          <w:p w14:paraId="2A7D552F" w14:textId="2E1C4BF3" w:rsidR="00C666A5" w:rsidRDefault="1B0380A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w:t>
            </w:r>
            <w:r w:rsidR="008A383B"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2,</w:t>
            </w:r>
            <w:r w:rsidR="008A383B"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6</w:t>
            </w:r>
          </w:p>
        </w:tc>
      </w:tr>
    </w:tbl>
    <w:p w14:paraId="2A7D5531" w14:textId="77777777" w:rsidR="00E66558" w:rsidRDefault="00E66558" w:rsidP="1CD8E600">
      <w:pPr>
        <w:rPr>
          <w:rFonts w:ascii="Century Gothic" w:eastAsia="Century Gothic" w:hAnsi="Century Gothic" w:cs="Century Gothic"/>
        </w:rPr>
      </w:pPr>
    </w:p>
    <w:p w14:paraId="2A7D5532" w14:textId="6EF3D849" w:rsidR="00E66558" w:rsidRPr="00AA355B" w:rsidRDefault="009D71E8" w:rsidP="1CD8E600">
      <w:pPr>
        <w:pStyle w:val="Heading3"/>
        <w:rPr>
          <w:rFonts w:ascii="Century Gothic" w:eastAsia="Century Gothic" w:hAnsi="Century Gothic" w:cs="Century Gothic"/>
          <w:color w:val="036308"/>
        </w:rPr>
      </w:pPr>
      <w:r w:rsidRPr="1CD8E600">
        <w:rPr>
          <w:rFonts w:ascii="Century Gothic" w:eastAsia="Century Gothic" w:hAnsi="Century Gothic" w:cs="Century Gothic"/>
          <w:color w:val="036308"/>
        </w:rPr>
        <w:t xml:space="preserve">Wider strategies </w:t>
      </w:r>
    </w:p>
    <w:p w14:paraId="2A7D5533" w14:textId="4DE2CD83" w:rsidR="00E66558" w:rsidRDefault="1421AE7A" w:rsidP="2FAC8BC9">
      <w:pPr>
        <w:spacing w:before="240" w:after="120"/>
        <w:rPr>
          <w:rFonts w:ascii="Century Gothic" w:eastAsia="Century Gothic" w:hAnsi="Century Gothic" w:cs="Century Gothic"/>
          <w:highlight w:val="yellow"/>
        </w:rPr>
      </w:pPr>
      <w:r w:rsidRPr="2FAC8BC9">
        <w:rPr>
          <w:rFonts w:ascii="Century Gothic" w:eastAsia="Century Gothic" w:hAnsi="Century Gothic" w:cs="Century Gothic"/>
        </w:rPr>
        <w:t xml:space="preserve">Budgeted cost: </w:t>
      </w:r>
      <w:r w:rsidRPr="2FAC8BC9">
        <w:rPr>
          <w:rFonts w:ascii="Century Gothic" w:eastAsia="Century Gothic" w:hAnsi="Century Gothic" w:cs="Century Gothic"/>
          <w:b/>
          <w:bCs/>
        </w:rPr>
        <w:t>£</w:t>
      </w:r>
      <w:r w:rsidR="3A5B9201" w:rsidRPr="2FAC8BC9">
        <w:rPr>
          <w:rFonts w:ascii="Century Gothic" w:eastAsia="Century Gothic" w:hAnsi="Century Gothic" w:cs="Century Gothic"/>
          <w:b/>
          <w:bCs/>
        </w:rPr>
        <w:t>44,342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2FAC8BC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34"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35"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36"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Challenge number(s) addressed</w:t>
            </w:r>
          </w:p>
        </w:tc>
      </w:tr>
      <w:tr w:rsidR="00E66558" w14:paraId="2A7D553B" w14:textId="77777777" w:rsidTr="2FAC8BC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60D21FE2" w:rsidR="00E66558" w:rsidRPr="008F1035" w:rsidRDefault="27D5013D"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ELSA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59BEC" w14:textId="37AB4F16" w:rsidR="00080D3B" w:rsidRDefault="3563B8F7" w:rsidP="1CD8E600">
            <w:pPr>
              <w:pStyle w:val="TableRowCentered"/>
              <w:jc w:val="left"/>
              <w:rPr>
                <w:rFonts w:ascii="Century Gothic" w:eastAsia="Century Gothic" w:hAnsi="Century Gothic" w:cs="Century Gothic"/>
                <w:highlight w:val="yellow"/>
              </w:rPr>
            </w:pPr>
            <w:r w:rsidRPr="1CD8E600">
              <w:rPr>
                <w:rFonts w:ascii="Century Gothic" w:eastAsia="Century Gothic" w:hAnsi="Century Gothic" w:cs="Century Gothic"/>
                <w:b/>
                <w:bCs/>
              </w:rPr>
              <w:t>Rationale:</w:t>
            </w:r>
            <w:r w:rsidRPr="1CD8E600">
              <w:rPr>
                <w:rFonts w:ascii="Century Gothic" w:eastAsia="Century Gothic" w:hAnsi="Century Gothic" w:cs="Century Gothic"/>
              </w:rPr>
              <w:t xml:space="preserve"> </w:t>
            </w:r>
            <w:r w:rsidR="5FEDA2EE" w:rsidRPr="1CD8E600">
              <w:rPr>
                <w:rFonts w:ascii="Century Gothic" w:eastAsia="Century Gothic" w:hAnsi="Century Gothic" w:cs="Century Gothic"/>
              </w:rPr>
              <w:t>We have trained a member of staff to deliver</w:t>
            </w:r>
            <w:r w:rsidRPr="1CD8E600">
              <w:rPr>
                <w:rFonts w:ascii="Century Gothic" w:eastAsia="Century Gothic" w:hAnsi="Century Gothic" w:cs="Century Gothic"/>
              </w:rPr>
              <w:t xml:space="preserve"> ELSA</w:t>
            </w:r>
            <w:r w:rsidR="6A67616B" w:rsidRPr="1CD8E600">
              <w:rPr>
                <w:rFonts w:ascii="Century Gothic" w:eastAsia="Century Gothic" w:hAnsi="Century Gothic" w:cs="Century Gothic"/>
              </w:rPr>
              <w:t xml:space="preserve"> interventions</w:t>
            </w:r>
            <w:r w:rsidRPr="1CD8E600">
              <w:rPr>
                <w:rFonts w:ascii="Century Gothic" w:eastAsia="Century Gothic" w:hAnsi="Century Gothic" w:cs="Century Gothic"/>
              </w:rPr>
              <w:t xml:space="preserve">. </w:t>
            </w:r>
            <w:r w:rsidR="4FAAFF3A" w:rsidRPr="1CD8E600">
              <w:rPr>
                <w:rFonts w:ascii="Century Gothic" w:eastAsia="Century Gothic" w:hAnsi="Century Gothic" w:cs="Century Gothic"/>
              </w:rPr>
              <w:t>Students</w:t>
            </w:r>
            <w:r w:rsidRPr="1CD8E600">
              <w:rPr>
                <w:rFonts w:ascii="Century Gothic" w:eastAsia="Century Gothic" w:hAnsi="Century Gothic" w:cs="Century Gothic"/>
              </w:rPr>
              <w:t xml:space="preserve"> have:</w:t>
            </w:r>
            <w:r w:rsidR="583937D7" w:rsidRPr="1CD8E600">
              <w:rPr>
                <w:rFonts w:ascii="Century Gothic" w:eastAsia="Century Gothic" w:hAnsi="Century Gothic" w:cs="Century Gothic"/>
              </w:rPr>
              <w:t xml:space="preserve"> </w:t>
            </w:r>
            <w:r w:rsidRPr="1CD8E600">
              <w:rPr>
                <w:rFonts w:ascii="Century Gothic" w:eastAsia="Century Gothic" w:hAnsi="Century Gothic" w:cs="Century Gothic"/>
              </w:rPr>
              <w:t xml:space="preserve">2 x 1-hour interventions each week </w:t>
            </w:r>
            <w:r w:rsidR="5CD0DED1" w:rsidRPr="1CD8E600">
              <w:rPr>
                <w:rFonts w:ascii="Century Gothic" w:eastAsia="Century Gothic" w:hAnsi="Century Gothic" w:cs="Century Gothic"/>
              </w:rPr>
              <w:t>for 6 weeks.</w:t>
            </w:r>
          </w:p>
          <w:p w14:paraId="012E63D8" w14:textId="77777777" w:rsidR="00080D3B" w:rsidRDefault="00080D3B" w:rsidP="1CD8E600">
            <w:pPr>
              <w:pStyle w:val="TableRowCentered"/>
              <w:jc w:val="left"/>
              <w:rPr>
                <w:rFonts w:ascii="Century Gothic" w:eastAsia="Century Gothic" w:hAnsi="Century Gothic" w:cs="Century Gothic"/>
              </w:rPr>
            </w:pPr>
          </w:p>
          <w:p w14:paraId="2A7D5539" w14:textId="298D458D" w:rsidR="00E66558" w:rsidRDefault="6D4221ED"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b/>
                <w:bCs/>
              </w:rPr>
              <w:t>Impact:</w:t>
            </w:r>
            <w:r w:rsidRPr="1CD8E600">
              <w:rPr>
                <w:rFonts w:ascii="Century Gothic" w:eastAsia="Century Gothic" w:hAnsi="Century Gothic" w:cs="Century Gothic"/>
              </w:rPr>
              <w:t xml:space="preserve"> This is another area of work that has had significant impact historically in the context of attachment, although again is not easy to quantify in educational outcomes. Our ELSA will help young people understand both their own emotions and respect the </w:t>
            </w:r>
            <w:r w:rsidRPr="1CD8E600">
              <w:rPr>
                <w:rFonts w:ascii="Century Gothic" w:eastAsia="Century Gothic" w:hAnsi="Century Gothic" w:cs="Century Gothic"/>
              </w:rPr>
              <w:lastRenderedPageBreak/>
              <w:t>feelings of others around them. They provide the time and space for pupils to think about their personal circumstances and how they manage them.</w:t>
            </w:r>
            <w:r w:rsidR="452AAF26" w:rsidRPr="1CD8E600">
              <w:rPr>
                <w:rFonts w:ascii="Century Gothic" w:eastAsia="Century Gothic" w:hAnsi="Century Gothic" w:cs="Century Gothic"/>
              </w:rPr>
              <w:t xml:space="preserve"> Outcomes are recorded using our attributes questionnaire data.</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0B4" w14:textId="31686275" w:rsidR="50D80908" w:rsidRDefault="0950C825" w:rsidP="43F0618A">
            <w:pPr>
              <w:pStyle w:val="TableRowCentered"/>
              <w:jc w:val="left"/>
              <w:rPr>
                <w:rFonts w:ascii="Century Gothic" w:eastAsia="Century Gothic" w:hAnsi="Century Gothic" w:cs="Century Gothic"/>
                <w:b/>
                <w:bCs/>
                <w:color w:val="000000" w:themeColor="text1"/>
              </w:rPr>
            </w:pPr>
            <w:r w:rsidRPr="43F0618A">
              <w:rPr>
                <w:rFonts w:ascii="Century Gothic" w:eastAsia="Century Gothic" w:hAnsi="Century Gothic" w:cs="Century Gothic"/>
                <w:color w:val="000000" w:themeColor="text1"/>
              </w:rPr>
              <w:lastRenderedPageBreak/>
              <w:t>Staffing cost -</w:t>
            </w:r>
            <w:r w:rsidRPr="43F0618A">
              <w:rPr>
                <w:rFonts w:ascii="Century Gothic" w:eastAsia="Century Gothic" w:hAnsi="Century Gothic" w:cs="Century Gothic"/>
                <w:b/>
                <w:bCs/>
                <w:color w:val="000000" w:themeColor="text1"/>
              </w:rPr>
              <w:t xml:space="preserve"> </w:t>
            </w:r>
            <w:r w:rsidR="76DE033F" w:rsidRPr="43F0618A">
              <w:rPr>
                <w:rFonts w:ascii="Century Gothic" w:eastAsia="Century Gothic" w:hAnsi="Century Gothic" w:cs="Century Gothic"/>
                <w:b/>
                <w:bCs/>
                <w:color w:val="000000" w:themeColor="text1"/>
              </w:rPr>
              <w:t>£9000</w:t>
            </w:r>
          </w:p>
          <w:p w14:paraId="5C641F20" w14:textId="77777777" w:rsidR="00C666A5" w:rsidRDefault="00C666A5" w:rsidP="1CD8E600">
            <w:pPr>
              <w:pStyle w:val="TableRowCentered"/>
              <w:jc w:val="left"/>
              <w:rPr>
                <w:rFonts w:ascii="Century Gothic" w:eastAsia="Century Gothic" w:hAnsi="Century Gothic" w:cs="Century Gothic"/>
                <w:sz w:val="22"/>
                <w:szCs w:val="22"/>
              </w:rPr>
            </w:pPr>
          </w:p>
          <w:p w14:paraId="23BA2B0D" w14:textId="6DCC6573" w:rsidR="57E914DD" w:rsidRDefault="57E914DD" w:rsidP="57E914DD">
            <w:pPr>
              <w:pStyle w:val="TableRowCentered"/>
              <w:jc w:val="left"/>
              <w:rPr>
                <w:rFonts w:ascii="Century Gothic" w:eastAsia="Century Gothic" w:hAnsi="Century Gothic" w:cs="Century Gothic"/>
                <w:sz w:val="22"/>
                <w:szCs w:val="22"/>
              </w:rPr>
            </w:pPr>
          </w:p>
          <w:p w14:paraId="228AE945" w14:textId="1776A4A3" w:rsidR="57E914DD" w:rsidRDefault="57E914DD" w:rsidP="57E914DD">
            <w:pPr>
              <w:pStyle w:val="TableRowCentered"/>
              <w:jc w:val="left"/>
              <w:rPr>
                <w:rFonts w:ascii="Century Gothic" w:eastAsia="Century Gothic" w:hAnsi="Century Gothic" w:cs="Century Gothic"/>
                <w:sz w:val="22"/>
                <w:szCs w:val="22"/>
              </w:rPr>
            </w:pPr>
          </w:p>
          <w:p w14:paraId="3D2A2E8A" w14:textId="4C3C4125" w:rsidR="57E914DD" w:rsidRDefault="57E914DD" w:rsidP="57E914DD">
            <w:pPr>
              <w:pStyle w:val="TableRowCentered"/>
              <w:jc w:val="left"/>
              <w:rPr>
                <w:rFonts w:ascii="Century Gothic" w:eastAsia="Century Gothic" w:hAnsi="Century Gothic" w:cs="Century Gothic"/>
                <w:sz w:val="22"/>
                <w:szCs w:val="22"/>
              </w:rPr>
            </w:pPr>
          </w:p>
          <w:p w14:paraId="2A7D553A" w14:textId="31FB5FB1" w:rsidR="00C666A5" w:rsidRDefault="1B0380A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3,</w:t>
            </w:r>
            <w:r w:rsidR="6445BF9B"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5,</w:t>
            </w:r>
            <w:r w:rsidR="6445BF9B"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6</w:t>
            </w:r>
          </w:p>
        </w:tc>
      </w:tr>
      <w:tr w:rsidR="00E66558" w14:paraId="2A7D553F" w14:textId="77777777" w:rsidTr="2FAC8BC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18EFC4CB" w:rsidR="00E66558" w:rsidRPr="008F1035" w:rsidRDefault="27D5013D"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Careers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21FF2" w14:textId="4B6CE865" w:rsidR="00080D3B" w:rsidRDefault="0850603A"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b/>
                <w:bCs/>
              </w:rPr>
              <w:t>Rationale:</w:t>
            </w:r>
            <w:r w:rsidRPr="4F47708F">
              <w:rPr>
                <w:rFonts w:ascii="Century Gothic" w:eastAsia="Century Gothic" w:hAnsi="Century Gothic" w:cs="Century Gothic"/>
              </w:rPr>
              <w:t xml:space="preserve"> Careers Advice and support with Post 16 </w:t>
            </w:r>
            <w:r w:rsidR="279E103A" w:rsidRPr="4F47708F">
              <w:rPr>
                <w:rFonts w:ascii="Century Gothic" w:eastAsia="Century Gothic" w:hAnsi="Century Gothic" w:cs="Century Gothic"/>
              </w:rPr>
              <w:t>destinations.</w:t>
            </w:r>
          </w:p>
          <w:p w14:paraId="644877DC" w14:textId="31039601" w:rsidR="1CD8E600" w:rsidRDefault="1CD8E600" w:rsidP="1CD8E600">
            <w:pPr>
              <w:pStyle w:val="TableRowCentered"/>
              <w:jc w:val="left"/>
              <w:rPr>
                <w:rFonts w:ascii="Century Gothic" w:eastAsia="Century Gothic" w:hAnsi="Century Gothic" w:cs="Century Gothic"/>
              </w:rPr>
            </w:pPr>
          </w:p>
          <w:p w14:paraId="2A7D553D" w14:textId="7565D931" w:rsidR="00E66558" w:rsidRDefault="0850603A" w:rsidP="1CD8E600">
            <w:pPr>
              <w:pStyle w:val="TableRowCentered"/>
              <w:jc w:val="left"/>
              <w:rPr>
                <w:rFonts w:ascii="Century Gothic" w:eastAsia="Century Gothic" w:hAnsi="Century Gothic" w:cs="Century Gothic"/>
                <w:sz w:val="22"/>
                <w:szCs w:val="22"/>
              </w:rPr>
            </w:pPr>
            <w:r w:rsidRPr="4F47708F">
              <w:rPr>
                <w:rFonts w:ascii="Century Gothic" w:eastAsia="Century Gothic" w:hAnsi="Century Gothic" w:cs="Century Gothic"/>
                <w:b/>
                <w:bCs/>
              </w:rPr>
              <w:t>Impact:</w:t>
            </w:r>
            <w:r w:rsidRPr="4F47708F">
              <w:rPr>
                <w:rFonts w:ascii="Century Gothic" w:eastAsia="Century Gothic" w:hAnsi="Century Gothic" w:cs="Century Gothic"/>
              </w:rPr>
              <w:t xml:space="preserve"> This frequently proves very positive in focusing Year 11 pupils for post 16 </w:t>
            </w:r>
            <w:r w:rsidR="2B12979E" w:rsidRPr="4F47708F">
              <w:rPr>
                <w:rFonts w:ascii="Century Gothic" w:eastAsia="Century Gothic" w:hAnsi="Century Gothic" w:cs="Century Gothic"/>
              </w:rPr>
              <w:t>destination</w:t>
            </w:r>
            <w:r w:rsidRPr="4F47708F">
              <w:rPr>
                <w:rFonts w:ascii="Century Gothic" w:eastAsia="Century Gothic" w:hAnsi="Century Gothic" w:cs="Century Gothic"/>
              </w:rPr>
              <w: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5F1D9" w14:textId="6F14E678" w:rsidR="00E66558" w:rsidRDefault="6DC1268F" w:rsidP="1CD8E600">
            <w:pPr>
              <w:pStyle w:val="TableRowCentered"/>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 xml:space="preserve">8 sessions per year </w:t>
            </w:r>
            <w:r w:rsidRPr="43F0618A">
              <w:rPr>
                <w:rFonts w:ascii="Century Gothic" w:eastAsia="Century Gothic" w:hAnsi="Century Gothic" w:cs="Century Gothic"/>
                <w:b/>
                <w:bCs/>
                <w:sz w:val="22"/>
                <w:szCs w:val="22"/>
              </w:rPr>
              <w:t>£2</w:t>
            </w:r>
            <w:r w:rsidR="116FBF06" w:rsidRPr="43F0618A">
              <w:rPr>
                <w:rFonts w:ascii="Century Gothic" w:eastAsia="Century Gothic" w:hAnsi="Century Gothic" w:cs="Century Gothic"/>
                <w:b/>
                <w:bCs/>
                <w:sz w:val="22"/>
                <w:szCs w:val="22"/>
              </w:rPr>
              <w:t>080</w:t>
            </w:r>
          </w:p>
          <w:p w14:paraId="72B9A10E" w14:textId="77777777" w:rsidR="009B5DBF" w:rsidRDefault="009B5DBF" w:rsidP="1CD8E600">
            <w:pPr>
              <w:pStyle w:val="TableRowCentered"/>
              <w:jc w:val="left"/>
              <w:rPr>
                <w:rFonts w:ascii="Century Gothic" w:eastAsia="Century Gothic" w:hAnsi="Century Gothic" w:cs="Century Gothic"/>
                <w:sz w:val="22"/>
                <w:szCs w:val="22"/>
              </w:rPr>
            </w:pPr>
          </w:p>
          <w:p w14:paraId="773FFAB4" w14:textId="77777777" w:rsidR="00C666A5" w:rsidRDefault="00C666A5" w:rsidP="1CD8E600">
            <w:pPr>
              <w:pStyle w:val="TableRowCentered"/>
              <w:jc w:val="left"/>
              <w:rPr>
                <w:rFonts w:ascii="Century Gothic" w:eastAsia="Century Gothic" w:hAnsi="Century Gothic" w:cs="Century Gothic"/>
                <w:sz w:val="22"/>
                <w:szCs w:val="22"/>
              </w:rPr>
            </w:pPr>
          </w:p>
          <w:p w14:paraId="2A7D553E" w14:textId="2711FEE6" w:rsidR="00C666A5" w:rsidRDefault="1B0380A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4,</w:t>
            </w:r>
            <w:r w:rsidR="102014E0"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5</w:t>
            </w:r>
          </w:p>
        </w:tc>
      </w:tr>
      <w:tr w:rsidR="587DDDBA" w14:paraId="4801F556" w14:textId="77777777" w:rsidTr="2FAC8BC9">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99871" w14:textId="39723FDD" w:rsidR="7369173F" w:rsidRDefault="1C4879B5"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Learning Beyond the Classroom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FB596" w14:textId="4E2F0A8F" w:rsidR="587DDDBA" w:rsidRDefault="26688B07" w:rsidP="14A712FE">
            <w:pPr>
              <w:pStyle w:val="TableRowCentered"/>
              <w:jc w:val="left"/>
              <w:rPr>
                <w:rFonts w:ascii="Century Gothic" w:eastAsia="Century Gothic" w:hAnsi="Century Gothic" w:cs="Century Gothic"/>
                <w:highlight w:val="cyan"/>
              </w:rPr>
            </w:pPr>
            <w:r w:rsidRPr="4F47708F">
              <w:rPr>
                <w:rFonts w:ascii="Century Gothic" w:eastAsia="Century Gothic" w:hAnsi="Century Gothic" w:cs="Century Gothic"/>
                <w:b/>
                <w:bCs/>
              </w:rPr>
              <w:t>Rationale:</w:t>
            </w:r>
            <w:r w:rsidRPr="4F47708F">
              <w:rPr>
                <w:rFonts w:ascii="Century Gothic" w:eastAsia="Century Gothic" w:hAnsi="Century Gothic" w:cs="Century Gothic"/>
              </w:rPr>
              <w:t xml:space="preserve"> </w:t>
            </w:r>
            <w:r w:rsidR="31E6C13F" w:rsidRPr="4F47708F">
              <w:rPr>
                <w:rFonts w:ascii="Century Gothic" w:eastAsia="Century Gothic" w:hAnsi="Century Gothic" w:cs="Century Gothic"/>
              </w:rPr>
              <w:t xml:space="preserve">Bespoke support packages for students that </w:t>
            </w:r>
            <w:proofErr w:type="gramStart"/>
            <w:r w:rsidR="31E6C13F" w:rsidRPr="4F47708F">
              <w:rPr>
                <w:rFonts w:ascii="Century Gothic" w:eastAsia="Century Gothic" w:hAnsi="Century Gothic" w:cs="Century Gothic"/>
              </w:rPr>
              <w:t>are not able to</w:t>
            </w:r>
            <w:proofErr w:type="gramEnd"/>
            <w:r w:rsidR="31E6C13F" w:rsidRPr="4F47708F">
              <w:rPr>
                <w:rFonts w:ascii="Century Gothic" w:eastAsia="Century Gothic" w:hAnsi="Century Gothic" w:cs="Century Gothic"/>
              </w:rPr>
              <w:t xml:space="preserve"> cope on the school site</w:t>
            </w:r>
            <w:r w:rsidR="2BDE4EBA" w:rsidRPr="4F47708F">
              <w:rPr>
                <w:rFonts w:ascii="Century Gothic" w:eastAsia="Century Gothic" w:hAnsi="Century Gothic" w:cs="Century Gothic"/>
              </w:rPr>
              <w:t>.</w:t>
            </w:r>
          </w:p>
          <w:p w14:paraId="43ED9689" w14:textId="1F58A67E" w:rsidR="587DDDBA" w:rsidRDefault="587DDDBA" w:rsidP="14A712FE">
            <w:pPr>
              <w:pStyle w:val="TableRowCentered"/>
              <w:jc w:val="left"/>
              <w:rPr>
                <w:rFonts w:ascii="Century Gothic" w:eastAsia="Century Gothic" w:hAnsi="Century Gothic" w:cs="Century Gothic"/>
                <w:highlight w:val="cyan"/>
              </w:rPr>
            </w:pPr>
          </w:p>
          <w:p w14:paraId="5A06FB89" w14:textId="25226145" w:rsidR="587DDDBA" w:rsidRDefault="26688B07"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b/>
                <w:bCs/>
              </w:rPr>
              <w:t>Impact:</w:t>
            </w:r>
            <w:r w:rsidRPr="4F47708F">
              <w:rPr>
                <w:rFonts w:ascii="Century Gothic" w:eastAsia="Century Gothic" w:hAnsi="Century Gothic" w:cs="Century Gothic"/>
              </w:rPr>
              <w:t xml:space="preserve"> </w:t>
            </w:r>
            <w:r w:rsidR="2C0CAD6B" w:rsidRPr="4F47708F">
              <w:rPr>
                <w:rFonts w:ascii="Century Gothic" w:eastAsia="Century Gothic" w:hAnsi="Century Gothic" w:cs="Century Gothic"/>
              </w:rPr>
              <w:t xml:space="preserve">Learning Beyond the Classroom consistently supports 2-3 students that </w:t>
            </w:r>
            <w:proofErr w:type="gramStart"/>
            <w:r w:rsidR="2C0CAD6B" w:rsidRPr="4F47708F">
              <w:rPr>
                <w:rFonts w:ascii="Century Gothic" w:eastAsia="Century Gothic" w:hAnsi="Century Gothic" w:cs="Century Gothic"/>
              </w:rPr>
              <w:t>are not able to</w:t>
            </w:r>
            <w:proofErr w:type="gramEnd"/>
            <w:r w:rsidR="2C0CAD6B" w:rsidRPr="4F47708F">
              <w:rPr>
                <w:rFonts w:ascii="Century Gothic" w:eastAsia="Century Gothic" w:hAnsi="Century Gothic" w:cs="Century Gothic"/>
              </w:rPr>
              <w:t xml:space="preserve"> be onto the school site, normally with an EHCP. LBC team work hard to ensure that all students leave with</w:t>
            </w:r>
            <w:r w:rsidR="3F340960" w:rsidRPr="4F47708F">
              <w:rPr>
                <w:rFonts w:ascii="Century Gothic" w:eastAsia="Century Gothic" w:hAnsi="Century Gothic" w:cs="Century Gothic"/>
              </w:rPr>
              <w:t xml:space="preserve"> a set of qualifications that allow them to access post 16</w:t>
            </w:r>
            <w:r w:rsidR="1F354B1A" w:rsidRPr="4F47708F">
              <w:rPr>
                <w:rFonts w:ascii="Century Gothic" w:eastAsia="Century Gothic" w:hAnsi="Century Gothic" w:cs="Century Gothic"/>
              </w:rPr>
              <w:t xml:space="preserve"> destinations.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D4C73" w14:textId="5DB3AE10" w:rsidR="78D7765D" w:rsidRPr="00BC7AE1" w:rsidRDefault="00A02A7B" w:rsidP="001D2DF5">
            <w:pPr>
              <w:pStyle w:val="TableRowCentered"/>
              <w:ind w:left="0"/>
              <w:jc w:val="left"/>
              <w:rPr>
                <w:rFonts w:ascii="Century Gothic" w:eastAsia="Century Gothic" w:hAnsi="Century Gothic" w:cs="Century Gothic"/>
                <w:sz w:val="22"/>
                <w:szCs w:val="22"/>
              </w:rPr>
            </w:pPr>
            <w:r w:rsidRPr="00BC7AE1">
              <w:rPr>
                <w:rFonts w:ascii="Century Gothic" w:eastAsia="Century Gothic" w:hAnsi="Century Gothic" w:cs="Century Gothic"/>
                <w:sz w:val="22"/>
                <w:szCs w:val="22"/>
              </w:rPr>
              <w:t>£45 per hour.</w:t>
            </w:r>
          </w:p>
          <w:p w14:paraId="0B6CD13B" w14:textId="77777777" w:rsidR="0038728F" w:rsidRPr="00BC7AE1" w:rsidRDefault="0038728F" w:rsidP="001D2DF5">
            <w:pPr>
              <w:pStyle w:val="TableRowCentered"/>
              <w:ind w:left="0"/>
              <w:jc w:val="left"/>
              <w:rPr>
                <w:rFonts w:ascii="Century Gothic" w:eastAsia="Century Gothic" w:hAnsi="Century Gothic" w:cs="Century Gothic"/>
                <w:sz w:val="22"/>
                <w:szCs w:val="22"/>
              </w:rPr>
            </w:pPr>
          </w:p>
          <w:p w14:paraId="637B08F6" w14:textId="08274D71" w:rsidR="0038728F" w:rsidRPr="00BC7AE1" w:rsidRDefault="0038728F" w:rsidP="001D2DF5">
            <w:pPr>
              <w:pStyle w:val="TableRowCentered"/>
              <w:ind w:left="0"/>
              <w:jc w:val="left"/>
              <w:rPr>
                <w:rFonts w:ascii="Century Gothic" w:eastAsia="Century Gothic" w:hAnsi="Century Gothic" w:cs="Century Gothic"/>
                <w:sz w:val="22"/>
                <w:szCs w:val="22"/>
              </w:rPr>
            </w:pPr>
            <w:r w:rsidRPr="00BC7AE1">
              <w:rPr>
                <w:rFonts w:ascii="Century Gothic" w:eastAsia="Century Gothic" w:hAnsi="Century Gothic" w:cs="Century Gothic"/>
                <w:sz w:val="22"/>
                <w:szCs w:val="22"/>
              </w:rPr>
              <w:t xml:space="preserve">Average of 2 hours per student </w:t>
            </w:r>
            <w:r w:rsidR="00E90DA0" w:rsidRPr="00BC7AE1">
              <w:rPr>
                <w:rFonts w:ascii="Century Gothic" w:eastAsia="Century Gothic" w:hAnsi="Century Gothic" w:cs="Century Gothic"/>
                <w:sz w:val="22"/>
                <w:szCs w:val="22"/>
              </w:rPr>
              <w:t>per week</w:t>
            </w:r>
            <w:r w:rsidR="00C83A8C" w:rsidRPr="00BC7AE1">
              <w:rPr>
                <w:rFonts w:ascii="Century Gothic" w:eastAsia="Century Gothic" w:hAnsi="Century Gothic" w:cs="Century Gothic"/>
                <w:sz w:val="22"/>
                <w:szCs w:val="22"/>
              </w:rPr>
              <w:t>.</w:t>
            </w:r>
          </w:p>
          <w:p w14:paraId="447D902B" w14:textId="77777777" w:rsidR="00871041" w:rsidRPr="00BC7AE1" w:rsidRDefault="00871041" w:rsidP="001D2DF5">
            <w:pPr>
              <w:pStyle w:val="TableRowCentered"/>
              <w:ind w:left="0"/>
              <w:jc w:val="left"/>
              <w:rPr>
                <w:rFonts w:ascii="Century Gothic" w:eastAsia="Century Gothic" w:hAnsi="Century Gothic" w:cs="Century Gothic"/>
                <w:sz w:val="22"/>
                <w:szCs w:val="22"/>
              </w:rPr>
            </w:pPr>
          </w:p>
          <w:p w14:paraId="3884CB67" w14:textId="0C7CD222" w:rsidR="00871041" w:rsidRPr="00BC7AE1" w:rsidRDefault="2B976A3F" w:rsidP="001D2DF5">
            <w:pPr>
              <w:pStyle w:val="TableRowCentered"/>
              <w:ind w:left="0"/>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1</w:t>
            </w:r>
            <w:r w:rsidR="0E8AE714" w:rsidRPr="43F0618A">
              <w:rPr>
                <w:rFonts w:ascii="Century Gothic" w:eastAsia="Century Gothic" w:hAnsi="Century Gothic" w:cs="Century Gothic"/>
                <w:sz w:val="22"/>
                <w:szCs w:val="22"/>
              </w:rPr>
              <w:t xml:space="preserve"> x student per year= </w:t>
            </w:r>
            <w:r w:rsidR="0E8AE714" w:rsidRPr="43F0618A">
              <w:rPr>
                <w:rFonts w:ascii="Century Gothic" w:eastAsia="Century Gothic" w:hAnsi="Century Gothic" w:cs="Century Gothic"/>
                <w:b/>
                <w:bCs/>
                <w:sz w:val="22"/>
                <w:szCs w:val="22"/>
              </w:rPr>
              <w:t>£</w:t>
            </w:r>
            <w:r w:rsidR="2715F044" w:rsidRPr="43F0618A">
              <w:rPr>
                <w:rFonts w:ascii="Century Gothic" w:eastAsia="Century Gothic" w:hAnsi="Century Gothic" w:cs="Century Gothic"/>
                <w:b/>
                <w:bCs/>
                <w:sz w:val="22"/>
                <w:szCs w:val="22"/>
              </w:rPr>
              <w:t>3510</w:t>
            </w:r>
          </w:p>
          <w:p w14:paraId="7F64206A" w14:textId="7025A76E" w:rsidR="1CD8E600" w:rsidRDefault="1CD8E600" w:rsidP="1CD8E600">
            <w:pPr>
              <w:pStyle w:val="TableRowCentered"/>
              <w:jc w:val="left"/>
              <w:rPr>
                <w:rFonts w:ascii="Century Gothic" w:eastAsia="Century Gothic" w:hAnsi="Century Gothic" w:cs="Century Gothic"/>
                <w:sz w:val="22"/>
                <w:szCs w:val="22"/>
              </w:rPr>
            </w:pPr>
          </w:p>
          <w:p w14:paraId="47DD35C4" w14:textId="42CABCF7" w:rsidR="587DDDBA" w:rsidRDefault="78D7765D"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1, 3, 4, 6</w:t>
            </w:r>
          </w:p>
        </w:tc>
      </w:tr>
      <w:tr w:rsidR="002C7733" w14:paraId="039D8AEC" w14:textId="77777777" w:rsidTr="2FAC8BC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BBE0" w14:textId="0D871A28" w:rsidR="002C7733" w:rsidRPr="008F1035" w:rsidRDefault="58C5E032"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College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B3FB" w14:textId="25EA0013" w:rsidR="002C7733" w:rsidRDefault="3CB4CDD6"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b/>
                <w:bCs/>
              </w:rPr>
              <w:t>Rationale:</w:t>
            </w:r>
            <w:r w:rsidRPr="4F47708F">
              <w:rPr>
                <w:rFonts w:ascii="Century Gothic" w:eastAsia="Century Gothic" w:hAnsi="Century Gothic" w:cs="Century Gothic"/>
              </w:rPr>
              <w:t xml:space="preserve"> An alternative form of education used to engage young people in a different environment, with a view of post 16 </w:t>
            </w:r>
            <w:r w:rsidR="4A9EEFDC" w:rsidRPr="4F47708F">
              <w:rPr>
                <w:rFonts w:ascii="Century Gothic" w:eastAsia="Century Gothic" w:hAnsi="Century Gothic" w:cs="Century Gothic"/>
              </w:rPr>
              <w:t>destinations</w:t>
            </w:r>
            <w:r w:rsidRPr="4F47708F">
              <w:rPr>
                <w:rFonts w:ascii="Century Gothic" w:eastAsia="Century Gothic" w:hAnsi="Century Gothic" w:cs="Century Gothic"/>
              </w:rPr>
              <w:t xml:space="preserve">. </w:t>
            </w:r>
          </w:p>
          <w:p w14:paraId="1E83FC4D" w14:textId="77777777" w:rsidR="002C7733" w:rsidRDefault="002C7733" w:rsidP="1CD8E600">
            <w:pPr>
              <w:pStyle w:val="TableRowCentered"/>
              <w:jc w:val="left"/>
              <w:rPr>
                <w:rFonts w:ascii="Century Gothic" w:eastAsia="Century Gothic" w:hAnsi="Century Gothic" w:cs="Century Gothic"/>
                <w:b/>
                <w:bCs/>
              </w:rPr>
            </w:pPr>
          </w:p>
          <w:p w14:paraId="306C79D6" w14:textId="071A7EED" w:rsidR="002C7733" w:rsidRPr="00080D3B" w:rsidRDefault="58C5E032" w:rsidP="1CD8E600">
            <w:pPr>
              <w:pStyle w:val="TableRowCentered"/>
              <w:jc w:val="left"/>
              <w:rPr>
                <w:rFonts w:ascii="Century Gothic" w:eastAsia="Century Gothic" w:hAnsi="Century Gothic" w:cs="Century Gothic"/>
                <w:b/>
                <w:bCs/>
              </w:rPr>
            </w:pPr>
            <w:r w:rsidRPr="1CD8E600">
              <w:rPr>
                <w:rFonts w:ascii="Century Gothic" w:eastAsia="Century Gothic" w:hAnsi="Century Gothic" w:cs="Century Gothic"/>
                <w:b/>
                <w:bCs/>
              </w:rPr>
              <w:t>Impact:</w:t>
            </w:r>
            <w:r w:rsidRPr="1CD8E600">
              <w:rPr>
                <w:rFonts w:ascii="Century Gothic" w:eastAsia="Century Gothic" w:hAnsi="Century Gothic" w:cs="Century Gothic"/>
              </w:rPr>
              <w:t xml:space="preserve"> This has engaged pupils in active learning in a different environment, at times with a view of pursuing this course of study Post 16.</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E030" w14:textId="09BD6A02" w:rsidR="002C7733" w:rsidRPr="00F934F4" w:rsidRDefault="62CAABA3" w:rsidP="1CD8E600">
            <w:pPr>
              <w:pStyle w:val="TableRowCentered"/>
              <w:jc w:val="left"/>
              <w:rPr>
                <w:rFonts w:ascii="Century Gothic" w:eastAsia="Century Gothic" w:hAnsi="Century Gothic" w:cs="Century Gothic"/>
                <w:sz w:val="22"/>
                <w:szCs w:val="22"/>
              </w:rPr>
            </w:pPr>
            <w:r w:rsidRPr="00F934F4">
              <w:rPr>
                <w:rFonts w:ascii="Century Gothic" w:eastAsia="Century Gothic" w:hAnsi="Century Gothic" w:cs="Century Gothic"/>
                <w:sz w:val="22"/>
                <w:szCs w:val="22"/>
              </w:rPr>
              <w:t>2</w:t>
            </w:r>
            <w:r w:rsidR="6D18EEC0" w:rsidRPr="00F934F4">
              <w:rPr>
                <w:rFonts w:ascii="Century Gothic" w:eastAsia="Century Gothic" w:hAnsi="Century Gothic" w:cs="Century Gothic"/>
                <w:sz w:val="22"/>
                <w:szCs w:val="22"/>
              </w:rPr>
              <w:t>x students- £750 per course</w:t>
            </w:r>
          </w:p>
          <w:p w14:paraId="05A5536F" w14:textId="77777777" w:rsidR="002C7733" w:rsidRPr="00F934F4" w:rsidRDefault="002C7733" w:rsidP="1CD8E600">
            <w:pPr>
              <w:pStyle w:val="TableRowCentered"/>
              <w:jc w:val="left"/>
              <w:rPr>
                <w:rFonts w:ascii="Century Gothic" w:eastAsia="Century Gothic" w:hAnsi="Century Gothic" w:cs="Century Gothic"/>
                <w:sz w:val="22"/>
                <w:szCs w:val="22"/>
              </w:rPr>
            </w:pPr>
          </w:p>
          <w:p w14:paraId="60A9FEB0" w14:textId="0327BD27" w:rsidR="002C7733" w:rsidRPr="00F934F4" w:rsidRDefault="1E28145F" w:rsidP="43F0618A">
            <w:pPr>
              <w:pStyle w:val="TableRowCentered"/>
              <w:jc w:val="left"/>
              <w:rPr>
                <w:rFonts w:ascii="Century Gothic" w:eastAsia="Century Gothic" w:hAnsi="Century Gothic" w:cs="Century Gothic"/>
                <w:b/>
                <w:bCs/>
                <w:sz w:val="22"/>
                <w:szCs w:val="22"/>
              </w:rPr>
            </w:pPr>
            <w:r w:rsidRPr="43F0618A">
              <w:rPr>
                <w:rFonts w:ascii="Century Gothic" w:eastAsia="Century Gothic" w:hAnsi="Century Gothic" w:cs="Century Gothic"/>
                <w:b/>
                <w:bCs/>
                <w:sz w:val="22"/>
                <w:szCs w:val="22"/>
              </w:rPr>
              <w:t>£</w:t>
            </w:r>
            <w:r w:rsidR="3493C7BF" w:rsidRPr="43F0618A">
              <w:rPr>
                <w:rFonts w:ascii="Century Gothic" w:eastAsia="Century Gothic" w:hAnsi="Century Gothic" w:cs="Century Gothic"/>
                <w:b/>
                <w:bCs/>
                <w:sz w:val="22"/>
                <w:szCs w:val="22"/>
              </w:rPr>
              <w:t>1500</w:t>
            </w:r>
          </w:p>
          <w:p w14:paraId="34519648" w14:textId="77777777" w:rsidR="00C666A5" w:rsidRDefault="00C666A5" w:rsidP="1CD8E600">
            <w:pPr>
              <w:pStyle w:val="TableRowCentered"/>
              <w:jc w:val="left"/>
              <w:rPr>
                <w:rFonts w:ascii="Century Gothic" w:eastAsia="Century Gothic" w:hAnsi="Century Gothic" w:cs="Century Gothic"/>
                <w:sz w:val="22"/>
                <w:szCs w:val="22"/>
              </w:rPr>
            </w:pPr>
          </w:p>
          <w:p w14:paraId="4C8ACB14" w14:textId="0BC4EDCC" w:rsidR="00C666A5" w:rsidRDefault="1B0380A9" w:rsidP="1CD8E600">
            <w:pPr>
              <w:pStyle w:val="TableRowCentered"/>
              <w:jc w:val="left"/>
              <w:rPr>
                <w:rFonts w:ascii="Century Gothic" w:eastAsia="Century Gothic" w:hAnsi="Century Gothic" w:cs="Century Gothic"/>
                <w:sz w:val="22"/>
                <w:szCs w:val="22"/>
              </w:rPr>
            </w:pPr>
            <w:r w:rsidRPr="1CD8E600">
              <w:rPr>
                <w:rFonts w:ascii="Century Gothic" w:eastAsia="Century Gothic" w:hAnsi="Century Gothic" w:cs="Century Gothic"/>
                <w:sz w:val="22"/>
                <w:szCs w:val="22"/>
              </w:rPr>
              <w:t>1,</w:t>
            </w:r>
            <w:r w:rsidR="643B21A6"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2,</w:t>
            </w:r>
            <w:r w:rsidR="5818968E" w:rsidRPr="1CD8E600">
              <w:rPr>
                <w:rFonts w:ascii="Century Gothic" w:eastAsia="Century Gothic" w:hAnsi="Century Gothic" w:cs="Century Gothic"/>
                <w:sz w:val="22"/>
                <w:szCs w:val="22"/>
              </w:rPr>
              <w:t xml:space="preserve"> </w:t>
            </w:r>
            <w:r w:rsidRPr="1CD8E600">
              <w:rPr>
                <w:rFonts w:ascii="Century Gothic" w:eastAsia="Century Gothic" w:hAnsi="Century Gothic" w:cs="Century Gothic"/>
                <w:sz w:val="22"/>
                <w:szCs w:val="22"/>
              </w:rPr>
              <w:t>6</w:t>
            </w:r>
          </w:p>
        </w:tc>
      </w:tr>
      <w:tr w:rsidR="587DDDBA" w14:paraId="0C1B3E23" w14:textId="77777777" w:rsidTr="2FAC8BC9">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32644" w14:textId="512DEC8A" w:rsidR="60093D99" w:rsidRDefault="4B0CC673" w:rsidP="1CD8E600">
            <w:pPr>
              <w:pStyle w:val="TableRow"/>
              <w:rPr>
                <w:rFonts w:ascii="Century Gothic" w:eastAsia="Century Gothic" w:hAnsi="Century Gothic" w:cs="Century Gothic"/>
                <w:b/>
                <w:bCs/>
              </w:rPr>
            </w:pPr>
            <w:r w:rsidRPr="1CD8E600">
              <w:rPr>
                <w:rFonts w:ascii="Century Gothic" w:eastAsia="Century Gothic" w:hAnsi="Century Gothic" w:cs="Century Gothic"/>
                <w:b/>
                <w:bCs/>
              </w:rPr>
              <w:t>Aspire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78144" w14:textId="2DBBF36E" w:rsidR="587DDDBA" w:rsidRDefault="21D452BB"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b/>
                <w:bCs/>
              </w:rPr>
              <w:t>Rationale:</w:t>
            </w:r>
            <w:r w:rsidRPr="4F47708F">
              <w:rPr>
                <w:rFonts w:ascii="Century Gothic" w:eastAsia="Century Gothic" w:hAnsi="Century Gothic" w:cs="Century Gothic"/>
              </w:rPr>
              <w:t xml:space="preserve"> </w:t>
            </w:r>
            <w:r w:rsidR="769336D1" w:rsidRPr="4F47708F">
              <w:rPr>
                <w:rFonts w:ascii="Century Gothic" w:eastAsia="Century Gothic" w:hAnsi="Century Gothic" w:cs="Century Gothic"/>
              </w:rPr>
              <w:t>An alternative provision that aims to engage students through Physical Education, building on skills that will enable them to succe</w:t>
            </w:r>
            <w:r w:rsidR="1BB4B396" w:rsidRPr="4F47708F">
              <w:rPr>
                <w:rFonts w:ascii="Century Gothic" w:eastAsia="Century Gothic" w:hAnsi="Century Gothic" w:cs="Century Gothic"/>
              </w:rPr>
              <w:t>ed</w:t>
            </w:r>
            <w:r w:rsidR="0FE47943" w:rsidRPr="4F47708F">
              <w:rPr>
                <w:rFonts w:ascii="Century Gothic" w:eastAsia="Century Gothic" w:hAnsi="Century Gothic" w:cs="Century Gothic"/>
              </w:rPr>
              <w:t xml:space="preserve"> in life outside of school</w:t>
            </w:r>
            <w:r w:rsidR="1BB4B396" w:rsidRPr="4F47708F">
              <w:rPr>
                <w:rFonts w:ascii="Century Gothic" w:eastAsia="Century Gothic" w:hAnsi="Century Gothic" w:cs="Century Gothic"/>
              </w:rPr>
              <w:t>.</w:t>
            </w:r>
          </w:p>
          <w:p w14:paraId="59FC1100" w14:textId="1F58A67E" w:rsidR="587DDDBA" w:rsidRDefault="587DDDBA" w:rsidP="14A712FE">
            <w:pPr>
              <w:pStyle w:val="TableRowCentered"/>
              <w:jc w:val="left"/>
              <w:rPr>
                <w:rFonts w:ascii="Century Gothic" w:eastAsia="Century Gothic" w:hAnsi="Century Gothic" w:cs="Century Gothic"/>
                <w:highlight w:val="cyan"/>
              </w:rPr>
            </w:pPr>
          </w:p>
          <w:p w14:paraId="0313E284" w14:textId="6F7BD302" w:rsidR="587DDDBA" w:rsidRDefault="21D452BB" w:rsidP="1CD8E600">
            <w:pPr>
              <w:pStyle w:val="TableRowCentered"/>
              <w:jc w:val="left"/>
              <w:rPr>
                <w:rFonts w:ascii="Century Gothic" w:eastAsia="Century Gothic" w:hAnsi="Century Gothic" w:cs="Century Gothic"/>
              </w:rPr>
            </w:pPr>
            <w:r w:rsidRPr="4F47708F">
              <w:rPr>
                <w:rFonts w:ascii="Century Gothic" w:eastAsia="Century Gothic" w:hAnsi="Century Gothic" w:cs="Century Gothic"/>
                <w:b/>
                <w:bCs/>
              </w:rPr>
              <w:t>Impact:</w:t>
            </w:r>
            <w:r w:rsidR="70E1E761" w:rsidRPr="4F47708F">
              <w:rPr>
                <w:rFonts w:ascii="Century Gothic" w:eastAsia="Century Gothic" w:hAnsi="Century Gothic" w:cs="Century Gothic"/>
                <w:b/>
                <w:bCs/>
              </w:rPr>
              <w:t xml:space="preserve"> </w:t>
            </w:r>
            <w:r w:rsidR="70E1E761" w:rsidRPr="4F47708F">
              <w:rPr>
                <w:rFonts w:ascii="Century Gothic" w:eastAsia="Century Gothic" w:hAnsi="Century Gothic" w:cs="Century Gothic"/>
              </w:rPr>
              <w:t>This provision has had successes in persistent school refusers re-engaging with education.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F0F71" w14:textId="44589235" w:rsidR="587DDDBA" w:rsidRPr="00F934F4" w:rsidRDefault="00641294" w:rsidP="57E914DD">
            <w:pPr>
              <w:pStyle w:val="TableRowCentered"/>
              <w:jc w:val="left"/>
              <w:rPr>
                <w:rFonts w:ascii="Century Gothic" w:eastAsia="Century Gothic" w:hAnsi="Century Gothic" w:cs="Century Gothic"/>
                <w:sz w:val="22"/>
                <w:szCs w:val="22"/>
              </w:rPr>
            </w:pPr>
            <w:r w:rsidRPr="00F934F4">
              <w:rPr>
                <w:rFonts w:ascii="Century Gothic" w:eastAsia="Century Gothic" w:hAnsi="Century Gothic" w:cs="Century Gothic"/>
                <w:sz w:val="22"/>
                <w:szCs w:val="22"/>
              </w:rPr>
              <w:lastRenderedPageBreak/>
              <w:t>£50 per hour</w:t>
            </w:r>
          </w:p>
          <w:p w14:paraId="040EE025" w14:textId="1CA2FD26" w:rsidR="00641294" w:rsidRPr="00F934F4" w:rsidRDefault="57196275" w:rsidP="57E914DD">
            <w:pPr>
              <w:pStyle w:val="TableRowCentered"/>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 xml:space="preserve">1 x PP student </w:t>
            </w:r>
            <w:r w:rsidR="214EBBB7" w:rsidRPr="43F0618A">
              <w:rPr>
                <w:rFonts w:ascii="Century Gothic" w:eastAsia="Century Gothic" w:hAnsi="Century Gothic" w:cs="Century Gothic"/>
                <w:sz w:val="22"/>
                <w:szCs w:val="22"/>
              </w:rPr>
              <w:t>(2 hours per week)</w:t>
            </w:r>
            <w:r w:rsidR="065ECF2C" w:rsidRPr="43F0618A">
              <w:rPr>
                <w:rFonts w:ascii="Century Gothic" w:eastAsia="Century Gothic" w:hAnsi="Century Gothic" w:cs="Century Gothic"/>
                <w:sz w:val="22"/>
                <w:szCs w:val="22"/>
              </w:rPr>
              <w:t xml:space="preserve"> </w:t>
            </w:r>
            <w:r w:rsidRPr="43F0618A">
              <w:rPr>
                <w:rFonts w:ascii="Century Gothic" w:eastAsia="Century Gothic" w:hAnsi="Century Gothic" w:cs="Century Gothic"/>
                <w:sz w:val="22"/>
                <w:szCs w:val="22"/>
              </w:rPr>
              <w:t xml:space="preserve">per year- </w:t>
            </w:r>
            <w:r w:rsidR="065ECF2C" w:rsidRPr="43F0618A">
              <w:rPr>
                <w:rFonts w:ascii="Century Gothic" w:eastAsia="Century Gothic" w:hAnsi="Century Gothic" w:cs="Century Gothic"/>
                <w:b/>
                <w:bCs/>
                <w:sz w:val="22"/>
                <w:szCs w:val="22"/>
              </w:rPr>
              <w:t>£3900</w:t>
            </w:r>
          </w:p>
          <w:p w14:paraId="26B77626" w14:textId="454A4324" w:rsidR="587DDDBA" w:rsidRDefault="587DDDBA" w:rsidP="57E914DD">
            <w:pPr>
              <w:pStyle w:val="TableRowCentered"/>
              <w:jc w:val="left"/>
              <w:rPr>
                <w:rFonts w:ascii="Century Gothic" w:eastAsia="Century Gothic" w:hAnsi="Century Gothic" w:cs="Century Gothic"/>
                <w:sz w:val="22"/>
                <w:szCs w:val="22"/>
                <w:highlight w:val="yellow"/>
              </w:rPr>
            </w:pPr>
          </w:p>
          <w:p w14:paraId="30E0C6D6" w14:textId="2E49C3B3" w:rsidR="587DDDBA" w:rsidRDefault="587DDDBA" w:rsidP="57E914DD">
            <w:pPr>
              <w:pStyle w:val="TableRowCentered"/>
              <w:jc w:val="left"/>
              <w:rPr>
                <w:rFonts w:ascii="Century Gothic" w:eastAsia="Century Gothic" w:hAnsi="Century Gothic" w:cs="Century Gothic"/>
                <w:sz w:val="22"/>
                <w:szCs w:val="22"/>
                <w:highlight w:val="yellow"/>
              </w:rPr>
            </w:pPr>
          </w:p>
          <w:p w14:paraId="2B36FA45" w14:textId="191F5E7E" w:rsidR="587DDDBA" w:rsidRDefault="528A1C37" w:rsidP="57E914DD">
            <w:pPr>
              <w:pStyle w:val="TableRowCentered"/>
              <w:jc w:val="left"/>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3, 4, 6</w:t>
            </w:r>
          </w:p>
        </w:tc>
      </w:tr>
      <w:tr w:rsidR="002C7733" w14:paraId="4F4DFA34" w14:textId="77777777" w:rsidTr="2FAC8BC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2990F" w14:textId="6B188C08" w:rsidR="002C7733" w:rsidRDefault="3CB4CDD6" w:rsidP="4F47708F">
            <w:pPr>
              <w:pStyle w:val="TableRow"/>
              <w:rPr>
                <w:rFonts w:ascii="Century Gothic" w:eastAsia="Century Gothic" w:hAnsi="Century Gothic" w:cs="Century Gothic"/>
                <w:b/>
                <w:bCs/>
              </w:rPr>
            </w:pPr>
            <w:proofErr w:type="spellStart"/>
            <w:r w:rsidRPr="4F47708F">
              <w:rPr>
                <w:rFonts w:ascii="Century Gothic" w:eastAsia="Century Gothic" w:hAnsi="Century Gothic" w:cs="Century Gothic"/>
                <w:b/>
                <w:bCs/>
              </w:rPr>
              <w:lastRenderedPageBreak/>
              <w:t>NG</w:t>
            </w:r>
            <w:r w:rsidR="2F964CA2" w:rsidRPr="4F47708F">
              <w:rPr>
                <w:rFonts w:ascii="Century Gothic" w:eastAsia="Century Gothic" w:hAnsi="Century Gothic" w:cs="Century Gothic"/>
                <w:b/>
                <w:bCs/>
              </w:rPr>
              <w:t>au</w:t>
            </w:r>
            <w:r w:rsidRPr="4F47708F">
              <w:rPr>
                <w:rFonts w:ascii="Century Gothic" w:eastAsia="Century Gothic" w:hAnsi="Century Gothic" w:cs="Century Gothic"/>
                <w:b/>
                <w:bCs/>
              </w:rPr>
              <w:t>ge</w:t>
            </w:r>
            <w:proofErr w:type="spellEnd"/>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7D55E" w14:textId="2158CF37" w:rsidR="002A7FE8" w:rsidRPr="00BB480E" w:rsidRDefault="008F1035" w:rsidP="1CD8E600">
            <w:pPr>
              <w:rPr>
                <w:rFonts w:ascii="Century Gothic" w:eastAsia="Century Gothic" w:hAnsi="Century Gothic" w:cs="Century Gothic"/>
              </w:rPr>
            </w:pPr>
            <w:r w:rsidRPr="00BB480E">
              <w:rPr>
                <w:rFonts w:ascii="Century Gothic" w:eastAsia="Century Gothic" w:hAnsi="Century Gothic" w:cs="Century Gothic"/>
                <w:b/>
                <w:bCs/>
              </w:rPr>
              <w:t>Rationale:</w:t>
            </w:r>
            <w:r w:rsidR="00252B55" w:rsidRPr="00BB480E">
              <w:rPr>
                <w:rFonts w:ascii="Century Gothic" w:eastAsia="Century Gothic" w:hAnsi="Century Gothic" w:cs="Century Gothic"/>
                <w:b/>
                <w:bCs/>
              </w:rPr>
              <w:t xml:space="preserve"> </w:t>
            </w:r>
            <w:r w:rsidR="2DE6D7A1" w:rsidRPr="00BB480E">
              <w:rPr>
                <w:rFonts w:ascii="Century Gothic" w:eastAsia="Century Gothic" w:hAnsi="Century Gothic" w:cs="Century Gothic"/>
              </w:rPr>
              <w:t>A programme of confidence-building, engagement, guidance and support aims to offer young people an alternative to risky behaviour, isolation and failure.  By focussing solely on their emotional responses and practical needs we can tailor the programme to the individual, without applying peer pressure and time constraints.</w:t>
            </w:r>
            <w:r w:rsidR="737D0546" w:rsidRPr="00BB480E">
              <w:rPr>
                <w:rFonts w:ascii="Century Gothic" w:eastAsia="Century Gothic" w:hAnsi="Century Gothic" w:cs="Century Gothic"/>
              </w:rPr>
              <w:t xml:space="preserve"> </w:t>
            </w:r>
            <w:r w:rsidR="2DE6D7A1" w:rsidRPr="00BB480E">
              <w:rPr>
                <w:rFonts w:ascii="Century Gothic" w:eastAsia="Century Gothic" w:hAnsi="Century Gothic" w:cs="Century Gothic"/>
              </w:rPr>
              <w:t>N-Gauge offer each young person an individual, personally tailored mentoring programme to cover specific circumstances and expected outcomes.</w:t>
            </w:r>
          </w:p>
          <w:p w14:paraId="7AD8F203" w14:textId="77777777" w:rsidR="008F1035" w:rsidRPr="00BB480E" w:rsidRDefault="008F1035" w:rsidP="1CD8E600">
            <w:pPr>
              <w:pStyle w:val="TableRowCentered"/>
              <w:jc w:val="left"/>
              <w:rPr>
                <w:rFonts w:ascii="Century Gothic" w:eastAsia="Century Gothic" w:hAnsi="Century Gothic" w:cs="Century Gothic"/>
                <w:b/>
                <w:bCs/>
              </w:rPr>
            </w:pPr>
          </w:p>
          <w:p w14:paraId="2CA6A539" w14:textId="1AAD3DF0" w:rsidR="008F1035" w:rsidRPr="00BB480E" w:rsidRDefault="008F1035" w:rsidP="1CD8E600">
            <w:pPr>
              <w:pStyle w:val="TableRowCentered"/>
              <w:jc w:val="left"/>
              <w:rPr>
                <w:rFonts w:ascii="Century Gothic" w:eastAsia="Century Gothic" w:hAnsi="Century Gothic" w:cs="Century Gothic"/>
              </w:rPr>
            </w:pPr>
            <w:r w:rsidRPr="00BB480E">
              <w:rPr>
                <w:rFonts w:ascii="Century Gothic" w:eastAsia="Century Gothic" w:hAnsi="Century Gothic" w:cs="Century Gothic"/>
                <w:b/>
                <w:bCs/>
              </w:rPr>
              <w:t xml:space="preserve">Impact: </w:t>
            </w:r>
            <w:r w:rsidRPr="00BB480E">
              <w:rPr>
                <w:rFonts w:ascii="Century Gothic" w:eastAsia="Century Gothic" w:hAnsi="Century Gothic" w:cs="Century Gothic"/>
              </w:rPr>
              <w:t>This provision has had successes in persistent school refusers re-engaging with education.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1846B" w14:textId="5FD829A6" w:rsidR="002C7733" w:rsidRPr="00BB480E" w:rsidRDefault="364CCE88" w:rsidP="1CD8E600">
            <w:pPr>
              <w:pStyle w:val="TableRowCentered"/>
              <w:jc w:val="left"/>
              <w:rPr>
                <w:rFonts w:ascii="Century Gothic" w:eastAsia="Century Gothic" w:hAnsi="Century Gothic" w:cs="Century Gothic"/>
                <w:sz w:val="22"/>
                <w:szCs w:val="22"/>
              </w:rPr>
            </w:pPr>
            <w:r w:rsidRPr="00BB480E">
              <w:rPr>
                <w:rFonts w:ascii="Century Gothic" w:eastAsia="Century Gothic" w:hAnsi="Century Gothic" w:cs="Century Gothic"/>
                <w:sz w:val="22"/>
                <w:szCs w:val="22"/>
              </w:rPr>
              <w:t xml:space="preserve">£50 per hour </w:t>
            </w:r>
          </w:p>
          <w:p w14:paraId="77BF9885" w14:textId="77777777" w:rsidR="00C1021A" w:rsidRPr="00BB480E" w:rsidRDefault="00C1021A" w:rsidP="1CD8E600">
            <w:pPr>
              <w:pStyle w:val="TableRowCentered"/>
              <w:jc w:val="left"/>
              <w:rPr>
                <w:rFonts w:ascii="Century Gothic" w:eastAsia="Century Gothic" w:hAnsi="Century Gothic" w:cs="Century Gothic"/>
                <w:sz w:val="22"/>
                <w:szCs w:val="22"/>
              </w:rPr>
            </w:pPr>
          </w:p>
          <w:p w14:paraId="770D84D8" w14:textId="77777777" w:rsidR="00C1021A" w:rsidRPr="00BB480E" w:rsidRDefault="00C1021A" w:rsidP="00FA1FBC">
            <w:pPr>
              <w:pStyle w:val="TableRowCentered"/>
              <w:ind w:left="0"/>
              <w:jc w:val="left"/>
              <w:rPr>
                <w:rFonts w:ascii="Century Gothic" w:eastAsia="Century Gothic" w:hAnsi="Century Gothic" w:cs="Century Gothic"/>
                <w:sz w:val="22"/>
                <w:szCs w:val="22"/>
              </w:rPr>
            </w:pPr>
            <w:r w:rsidRPr="00BB480E">
              <w:rPr>
                <w:rFonts w:ascii="Century Gothic" w:eastAsia="Century Gothic" w:hAnsi="Century Gothic" w:cs="Century Gothic"/>
                <w:sz w:val="22"/>
                <w:szCs w:val="22"/>
              </w:rPr>
              <w:t>Average of 2 hours per student per week.</w:t>
            </w:r>
          </w:p>
          <w:p w14:paraId="38C6FCDD" w14:textId="4A13DCE1" w:rsidR="00C1021A" w:rsidRPr="00BB480E" w:rsidRDefault="00C1021A" w:rsidP="00C1021A">
            <w:pPr>
              <w:pStyle w:val="TableRowCentered"/>
              <w:ind w:left="0"/>
              <w:jc w:val="left"/>
              <w:rPr>
                <w:rFonts w:ascii="Century Gothic" w:eastAsia="Century Gothic" w:hAnsi="Century Gothic" w:cs="Century Gothic"/>
                <w:sz w:val="22"/>
                <w:szCs w:val="22"/>
              </w:rPr>
            </w:pPr>
          </w:p>
          <w:p w14:paraId="222DB0E6" w14:textId="311CF006" w:rsidR="005A272C" w:rsidRPr="00BB480E" w:rsidRDefault="1404A4E7" w:rsidP="1CD8E600">
            <w:pPr>
              <w:pStyle w:val="TableRowCentered"/>
              <w:ind w:left="0"/>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1x PP student per year</w:t>
            </w:r>
            <w:r w:rsidR="41CB15D5" w:rsidRPr="43F0618A">
              <w:rPr>
                <w:rFonts w:ascii="Century Gothic" w:eastAsia="Century Gothic" w:hAnsi="Century Gothic" w:cs="Century Gothic"/>
                <w:sz w:val="22"/>
                <w:szCs w:val="22"/>
              </w:rPr>
              <w:t xml:space="preserve">= </w:t>
            </w:r>
            <w:r w:rsidR="41CB15D5" w:rsidRPr="43F0618A">
              <w:rPr>
                <w:rFonts w:ascii="Century Gothic" w:eastAsia="Century Gothic" w:hAnsi="Century Gothic" w:cs="Century Gothic"/>
                <w:b/>
                <w:bCs/>
                <w:sz w:val="22"/>
                <w:szCs w:val="22"/>
              </w:rPr>
              <w:t>£3900</w:t>
            </w:r>
          </w:p>
          <w:p w14:paraId="5F5B914E" w14:textId="77777777" w:rsidR="005A272C" w:rsidRPr="00BB480E" w:rsidRDefault="005A272C" w:rsidP="1CD8E600">
            <w:pPr>
              <w:pStyle w:val="TableRowCentered"/>
              <w:ind w:left="0"/>
              <w:jc w:val="left"/>
              <w:rPr>
                <w:rFonts w:ascii="Century Gothic" w:eastAsia="Century Gothic" w:hAnsi="Century Gothic" w:cs="Century Gothic"/>
                <w:sz w:val="22"/>
                <w:szCs w:val="22"/>
              </w:rPr>
            </w:pPr>
          </w:p>
          <w:p w14:paraId="101D4E35" w14:textId="4DE82EE3" w:rsidR="00C666A5" w:rsidRPr="00BB480E" w:rsidRDefault="1B0380A9" w:rsidP="1CD8E600">
            <w:pPr>
              <w:pStyle w:val="TableRowCentered"/>
              <w:ind w:left="0"/>
              <w:jc w:val="left"/>
              <w:rPr>
                <w:rFonts w:ascii="Century Gothic" w:eastAsia="Century Gothic" w:hAnsi="Century Gothic" w:cs="Century Gothic"/>
                <w:sz w:val="22"/>
                <w:szCs w:val="22"/>
              </w:rPr>
            </w:pPr>
            <w:r w:rsidRPr="00BB480E">
              <w:rPr>
                <w:rFonts w:ascii="Century Gothic" w:eastAsia="Century Gothic" w:hAnsi="Century Gothic" w:cs="Century Gothic"/>
                <w:sz w:val="22"/>
                <w:szCs w:val="22"/>
              </w:rPr>
              <w:t>1,</w:t>
            </w:r>
            <w:r w:rsidR="0F77BEB1" w:rsidRPr="00BB480E">
              <w:rPr>
                <w:rFonts w:ascii="Century Gothic" w:eastAsia="Century Gothic" w:hAnsi="Century Gothic" w:cs="Century Gothic"/>
                <w:sz w:val="22"/>
                <w:szCs w:val="22"/>
              </w:rPr>
              <w:t xml:space="preserve"> </w:t>
            </w:r>
            <w:r w:rsidRPr="00BB480E">
              <w:rPr>
                <w:rFonts w:ascii="Century Gothic" w:eastAsia="Century Gothic" w:hAnsi="Century Gothic" w:cs="Century Gothic"/>
                <w:sz w:val="22"/>
                <w:szCs w:val="22"/>
              </w:rPr>
              <w:t>4,</w:t>
            </w:r>
            <w:r w:rsidR="04EF1867" w:rsidRPr="00BB480E">
              <w:rPr>
                <w:rFonts w:ascii="Century Gothic" w:eastAsia="Century Gothic" w:hAnsi="Century Gothic" w:cs="Century Gothic"/>
                <w:sz w:val="22"/>
                <w:szCs w:val="22"/>
              </w:rPr>
              <w:t xml:space="preserve"> </w:t>
            </w:r>
            <w:r w:rsidRPr="00BB480E">
              <w:rPr>
                <w:rFonts w:ascii="Century Gothic" w:eastAsia="Century Gothic" w:hAnsi="Century Gothic" w:cs="Century Gothic"/>
                <w:sz w:val="22"/>
                <w:szCs w:val="22"/>
              </w:rPr>
              <w:t>5,</w:t>
            </w:r>
            <w:r w:rsidR="31CB8726" w:rsidRPr="00BB480E">
              <w:rPr>
                <w:rFonts w:ascii="Century Gothic" w:eastAsia="Century Gothic" w:hAnsi="Century Gothic" w:cs="Century Gothic"/>
                <w:sz w:val="22"/>
                <w:szCs w:val="22"/>
              </w:rPr>
              <w:t xml:space="preserve"> </w:t>
            </w:r>
            <w:r w:rsidRPr="00BB480E">
              <w:rPr>
                <w:rFonts w:ascii="Century Gothic" w:eastAsia="Century Gothic" w:hAnsi="Century Gothic" w:cs="Century Gothic"/>
                <w:sz w:val="22"/>
                <w:szCs w:val="22"/>
              </w:rPr>
              <w:t>6</w:t>
            </w:r>
          </w:p>
        </w:tc>
      </w:tr>
      <w:tr w:rsidR="587DDDBA" w14:paraId="11329703" w14:textId="77777777" w:rsidTr="2FAC8BC9">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7C26" w14:textId="19044023" w:rsidR="15A2577E" w:rsidRDefault="6BFCF811" w:rsidP="1CD8E600">
            <w:pPr>
              <w:pStyle w:val="TableRow"/>
              <w:rPr>
                <w:rFonts w:ascii="Century Gothic" w:eastAsia="Century Gothic" w:hAnsi="Century Gothic" w:cs="Century Gothic"/>
                <w:b/>
                <w:bCs/>
              </w:rPr>
            </w:pPr>
            <w:r w:rsidRPr="57E914DD">
              <w:rPr>
                <w:rFonts w:ascii="Century Gothic" w:eastAsia="Century Gothic" w:hAnsi="Century Gothic" w:cs="Century Gothic"/>
                <w:b/>
                <w:bCs/>
              </w:rPr>
              <w:t>Fun 2 Fish</w:t>
            </w:r>
            <w:r w:rsidR="3CFBD808" w:rsidRPr="57E914DD">
              <w:rPr>
                <w:rFonts w:ascii="Century Gothic" w:eastAsia="Century Gothic" w:hAnsi="Century Gothic" w:cs="Century Gothic"/>
                <w:b/>
                <w:bCs/>
              </w:rPr>
              <w:t xml:space="preserve"> (Fishing)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D9243" w14:textId="23F2576F" w:rsidR="62552FB6" w:rsidRDefault="62552FB6" w:rsidP="57E914DD">
            <w:pPr>
              <w:pStyle w:val="TableRowCentered"/>
              <w:spacing w:line="259" w:lineRule="auto"/>
              <w:jc w:val="left"/>
              <w:rPr>
                <w:rFonts w:ascii="Century Gothic" w:eastAsia="Century Gothic" w:hAnsi="Century Gothic" w:cs="Century Gothic"/>
                <w:color w:val="0D0D0D" w:themeColor="text1" w:themeTint="F2"/>
                <w:szCs w:val="24"/>
              </w:rPr>
            </w:pPr>
            <w:r w:rsidRPr="57E914DD">
              <w:rPr>
                <w:rFonts w:ascii="Century Gothic" w:eastAsia="Century Gothic" w:hAnsi="Century Gothic" w:cs="Century Gothic"/>
                <w:b/>
                <w:bCs/>
              </w:rPr>
              <w:t>Rationale:</w:t>
            </w:r>
            <w:r w:rsidRPr="57E914DD">
              <w:rPr>
                <w:rFonts w:ascii="Century Gothic" w:eastAsia="Century Gothic" w:hAnsi="Century Gothic" w:cs="Century Gothic"/>
              </w:rPr>
              <w:t xml:space="preserve"> </w:t>
            </w:r>
            <w:r w:rsidR="7AFE0EC6" w:rsidRPr="57E914DD">
              <w:rPr>
                <w:rFonts w:ascii="Century Gothic" w:eastAsia="Century Gothic" w:hAnsi="Century Gothic" w:cs="Century Gothic"/>
                <w:color w:val="0D0D0D" w:themeColor="text1" w:themeTint="F2"/>
                <w:szCs w:val="24"/>
              </w:rPr>
              <w:t xml:space="preserve">Students with high levels of anxiety, low confidence, and barriers linked to SEMH needs are given the </w:t>
            </w:r>
            <w:r w:rsidR="2D221C1A" w:rsidRPr="57E914DD">
              <w:rPr>
                <w:rFonts w:ascii="Century Gothic" w:eastAsia="Century Gothic" w:hAnsi="Century Gothic" w:cs="Century Gothic"/>
                <w:color w:val="0D0D0D" w:themeColor="text1" w:themeTint="F2"/>
                <w:szCs w:val="24"/>
              </w:rPr>
              <w:t xml:space="preserve">opportunity to take part in a </w:t>
            </w:r>
            <w:r w:rsidR="7AFE0EC6" w:rsidRPr="57E914DD">
              <w:rPr>
                <w:rFonts w:ascii="Century Gothic" w:eastAsia="Century Gothic" w:hAnsi="Century Gothic" w:cs="Century Gothic"/>
                <w:color w:val="0D0D0D" w:themeColor="text1" w:themeTint="F2"/>
                <w:szCs w:val="24"/>
              </w:rPr>
              <w:t>calm, structured, and purposeful outdoor activity that supports regulation, relationship-building, patience, and resilience.</w:t>
            </w:r>
          </w:p>
          <w:p w14:paraId="5985A5BC" w14:textId="1F58A67E" w:rsidR="587DDDBA" w:rsidRDefault="587DDDBA" w:rsidP="4F47708F">
            <w:pPr>
              <w:pStyle w:val="TableRowCentered"/>
              <w:jc w:val="left"/>
              <w:rPr>
                <w:rFonts w:ascii="Century Gothic" w:eastAsia="Century Gothic" w:hAnsi="Century Gothic" w:cs="Century Gothic"/>
                <w:highlight w:val="cyan"/>
              </w:rPr>
            </w:pPr>
          </w:p>
          <w:p w14:paraId="11A1DE80" w14:textId="186CFF28" w:rsidR="587DDDBA" w:rsidRDefault="62552FB6" w:rsidP="57E914DD">
            <w:pPr>
              <w:pStyle w:val="TableRowCentered"/>
              <w:jc w:val="left"/>
              <w:rPr>
                <w:rFonts w:ascii="Century Gothic" w:eastAsia="Century Gothic" w:hAnsi="Century Gothic" w:cs="Century Gothic"/>
                <w:color w:val="0D0D0D" w:themeColor="text1" w:themeTint="F2"/>
                <w:szCs w:val="24"/>
              </w:rPr>
            </w:pPr>
            <w:r w:rsidRPr="57E914DD">
              <w:rPr>
                <w:rFonts w:ascii="Century Gothic" w:eastAsia="Century Gothic" w:hAnsi="Century Gothic" w:cs="Century Gothic"/>
                <w:b/>
                <w:bCs/>
              </w:rPr>
              <w:t>Impact:</w:t>
            </w:r>
            <w:r w:rsidR="03D8CE4F" w:rsidRPr="57E914DD">
              <w:rPr>
                <w:rFonts w:ascii="Century Gothic" w:eastAsia="Century Gothic" w:hAnsi="Century Gothic" w:cs="Century Gothic"/>
              </w:rPr>
              <w:t xml:space="preserve"> L</w:t>
            </w:r>
            <w:r w:rsidR="03D8CE4F" w:rsidRPr="57E914DD">
              <w:rPr>
                <w:rFonts w:ascii="Century Gothic" w:eastAsia="Century Gothic" w:hAnsi="Century Gothic" w:cs="Century Gothic"/>
                <w:color w:val="0D0D0D" w:themeColor="text1" w:themeTint="F2"/>
                <w:szCs w:val="24"/>
              </w:rPr>
              <w:t xml:space="preserve">ow-pressure environment where students can experience success, develop </w:t>
            </w:r>
            <w:r w:rsidR="03D8CE4F" w:rsidRPr="57E914DD">
              <w:rPr>
                <w:rFonts w:ascii="Century Gothic" w:eastAsia="Century Gothic" w:hAnsi="Century Gothic" w:cs="Century Gothic"/>
                <w:color w:val="0D0D0D" w:themeColor="text1" w:themeTint="F2"/>
                <w:szCs w:val="24"/>
              </w:rPr>
              <w:lastRenderedPageBreak/>
              <w:t>trust with adults, and rebuild readiness to learn.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BC45D" w14:textId="19CAC5FB" w:rsidR="587DDDBA" w:rsidRPr="00BB480E" w:rsidRDefault="00455E48" w:rsidP="57E914DD">
            <w:pPr>
              <w:pStyle w:val="TableRowCentered"/>
              <w:jc w:val="left"/>
              <w:rPr>
                <w:rFonts w:ascii="Century Gothic" w:eastAsia="Century Gothic" w:hAnsi="Century Gothic" w:cs="Century Gothic"/>
                <w:sz w:val="22"/>
                <w:szCs w:val="22"/>
              </w:rPr>
            </w:pPr>
            <w:r w:rsidRPr="00BB480E">
              <w:rPr>
                <w:rFonts w:ascii="Century Gothic" w:eastAsia="Century Gothic" w:hAnsi="Century Gothic" w:cs="Century Gothic"/>
                <w:sz w:val="22"/>
                <w:szCs w:val="22"/>
              </w:rPr>
              <w:lastRenderedPageBreak/>
              <w:t xml:space="preserve">£160 per </w:t>
            </w:r>
            <w:proofErr w:type="gramStart"/>
            <w:r w:rsidRPr="00BB480E">
              <w:rPr>
                <w:rFonts w:ascii="Century Gothic" w:eastAsia="Century Gothic" w:hAnsi="Century Gothic" w:cs="Century Gothic"/>
                <w:sz w:val="22"/>
                <w:szCs w:val="22"/>
              </w:rPr>
              <w:t>3 hour</w:t>
            </w:r>
            <w:proofErr w:type="gramEnd"/>
            <w:r w:rsidRPr="00BB480E">
              <w:rPr>
                <w:rFonts w:ascii="Century Gothic" w:eastAsia="Century Gothic" w:hAnsi="Century Gothic" w:cs="Century Gothic"/>
                <w:sz w:val="22"/>
                <w:szCs w:val="22"/>
              </w:rPr>
              <w:t xml:space="preserve"> session</w:t>
            </w:r>
          </w:p>
          <w:p w14:paraId="50F81AA3" w14:textId="77777777" w:rsidR="008E232D" w:rsidRPr="00BB480E" w:rsidRDefault="008E232D" w:rsidP="57E914DD">
            <w:pPr>
              <w:pStyle w:val="TableRowCentered"/>
              <w:jc w:val="left"/>
              <w:rPr>
                <w:rFonts w:ascii="Century Gothic" w:eastAsia="Century Gothic" w:hAnsi="Century Gothic" w:cs="Century Gothic"/>
                <w:sz w:val="22"/>
                <w:szCs w:val="22"/>
              </w:rPr>
            </w:pPr>
          </w:p>
          <w:p w14:paraId="26F39F4D" w14:textId="317BA142" w:rsidR="008E232D" w:rsidRPr="00BB480E" w:rsidRDefault="7AE8BF47" w:rsidP="57E914DD">
            <w:pPr>
              <w:pStyle w:val="TableRowCentered"/>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 xml:space="preserve">1x PP student per year- </w:t>
            </w:r>
            <w:r w:rsidRPr="43F0618A">
              <w:rPr>
                <w:rFonts w:ascii="Century Gothic" w:eastAsia="Century Gothic" w:hAnsi="Century Gothic" w:cs="Century Gothic"/>
                <w:b/>
                <w:bCs/>
                <w:sz w:val="22"/>
                <w:szCs w:val="22"/>
              </w:rPr>
              <w:t>£6240</w:t>
            </w:r>
          </w:p>
          <w:p w14:paraId="2CBA23AF" w14:textId="6DA722E4" w:rsidR="587DDDBA" w:rsidRPr="00BB480E" w:rsidRDefault="587DDDBA" w:rsidP="57E914DD">
            <w:pPr>
              <w:pStyle w:val="TableRowCentered"/>
              <w:jc w:val="left"/>
              <w:rPr>
                <w:rFonts w:ascii="Century Gothic" w:eastAsia="Century Gothic" w:hAnsi="Century Gothic" w:cs="Century Gothic"/>
                <w:sz w:val="22"/>
                <w:szCs w:val="22"/>
              </w:rPr>
            </w:pPr>
          </w:p>
          <w:p w14:paraId="37A32011" w14:textId="5C14E17F" w:rsidR="587DDDBA" w:rsidRDefault="587DDDBA" w:rsidP="57E914DD">
            <w:pPr>
              <w:pStyle w:val="TableRowCentered"/>
              <w:jc w:val="left"/>
              <w:rPr>
                <w:rFonts w:ascii="Century Gothic" w:eastAsia="Century Gothic" w:hAnsi="Century Gothic" w:cs="Century Gothic"/>
                <w:sz w:val="22"/>
                <w:szCs w:val="22"/>
                <w:highlight w:val="yellow"/>
              </w:rPr>
            </w:pPr>
          </w:p>
          <w:p w14:paraId="16505EBF" w14:textId="2932FD35" w:rsidR="587DDDBA" w:rsidRDefault="587DDDBA" w:rsidP="57E914DD">
            <w:pPr>
              <w:pStyle w:val="TableRowCentered"/>
              <w:jc w:val="left"/>
              <w:rPr>
                <w:rFonts w:ascii="Century Gothic" w:eastAsia="Century Gothic" w:hAnsi="Century Gothic" w:cs="Century Gothic"/>
                <w:sz w:val="22"/>
                <w:szCs w:val="22"/>
                <w:highlight w:val="yellow"/>
              </w:rPr>
            </w:pPr>
          </w:p>
          <w:p w14:paraId="0C4A240D" w14:textId="10A10AE1" w:rsidR="587DDDBA" w:rsidRDefault="1C69C181" w:rsidP="57E914DD">
            <w:pPr>
              <w:pStyle w:val="TableRowCentered"/>
              <w:jc w:val="left"/>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3, 4, 6</w:t>
            </w:r>
          </w:p>
        </w:tc>
      </w:tr>
      <w:tr w:rsidR="6D46604E" w14:paraId="2C854064" w14:textId="77777777" w:rsidTr="2FAC8BC9">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D540" w14:textId="1C547D4B" w:rsidR="79B0240A" w:rsidRDefault="707616BB" w:rsidP="6D46604E">
            <w:pPr>
              <w:pStyle w:val="TableRow"/>
              <w:rPr>
                <w:rFonts w:ascii="Century Gothic" w:eastAsia="Century Gothic" w:hAnsi="Century Gothic" w:cs="Century Gothic"/>
                <w:b/>
                <w:bCs/>
              </w:rPr>
            </w:pPr>
            <w:r w:rsidRPr="43F0618A">
              <w:rPr>
                <w:rFonts w:ascii="Century Gothic" w:eastAsia="Century Gothic" w:hAnsi="Century Gothic" w:cs="Century Gothic"/>
                <w:b/>
                <w:bCs/>
              </w:rPr>
              <w:t>Breakfast</w:t>
            </w:r>
            <w:r w:rsidR="5ABF1CB7" w:rsidRPr="43F0618A">
              <w:rPr>
                <w:rFonts w:ascii="Century Gothic" w:eastAsia="Century Gothic" w:hAnsi="Century Gothic" w:cs="Century Gothic"/>
                <w:b/>
                <w:bCs/>
              </w:rPr>
              <w:t xml:space="preserve"> and Lunch</w:t>
            </w:r>
            <w:r w:rsidRPr="43F0618A">
              <w:rPr>
                <w:rFonts w:ascii="Century Gothic" w:eastAsia="Century Gothic" w:hAnsi="Century Gothic" w:cs="Century Gothic"/>
                <w:b/>
                <w:bCs/>
              </w:rPr>
              <w:t xml:space="preserve"> (Provided for all</w:t>
            </w:r>
            <w:r w:rsidR="4CFDAB60" w:rsidRPr="43F0618A">
              <w:rPr>
                <w:rFonts w:ascii="Century Gothic" w:eastAsia="Century Gothic" w:hAnsi="Century Gothic" w:cs="Century Gothic"/>
                <w:b/>
                <w:bCs/>
              </w:rPr>
              <w:t xml:space="preserve"> onsite</w:t>
            </w:r>
            <w:r w:rsidRPr="43F0618A">
              <w:rPr>
                <w:rFonts w:ascii="Century Gothic" w:eastAsia="Century Gothic" w:hAnsi="Century Gothic" w:cs="Century Gothic"/>
                <w:b/>
                <w:bCs/>
              </w:rPr>
              <w:t xml:space="preserve"> students)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E976" w14:textId="7BED13F3" w:rsidR="6D46604E" w:rsidRDefault="2B10DD59" w:rsidP="6902ABCE">
            <w:pPr>
              <w:pStyle w:val="TableRowCentered"/>
              <w:spacing w:line="259" w:lineRule="auto"/>
              <w:jc w:val="left"/>
              <w:rPr>
                <w:rFonts w:ascii="Century Gothic" w:eastAsia="Century Gothic" w:hAnsi="Century Gothic" w:cs="Century Gothic"/>
              </w:rPr>
            </w:pPr>
            <w:r w:rsidRPr="6902ABCE">
              <w:rPr>
                <w:rFonts w:ascii="Century Gothic" w:eastAsia="Century Gothic" w:hAnsi="Century Gothic" w:cs="Century Gothic"/>
                <w:b/>
                <w:bCs/>
              </w:rPr>
              <w:t xml:space="preserve">Rationale: </w:t>
            </w:r>
            <w:r w:rsidRPr="6902ABCE">
              <w:rPr>
                <w:rFonts w:ascii="Century Gothic" w:eastAsia="Century Gothic" w:hAnsi="Century Gothic" w:cs="Century Gothic"/>
              </w:rPr>
              <w:t>Some disadvantaged students do not have consistent access to nutritious food. According to Maslow’s hierarchy of needs, basic physiological needs such as food must be met before individuals are able to fully engage in higher-level learning, emotional regulation, and social development.</w:t>
            </w:r>
          </w:p>
          <w:p w14:paraId="63653C67" w14:textId="18F3906D" w:rsidR="6D46604E" w:rsidRDefault="6D46604E" w:rsidP="6902ABCE">
            <w:pPr>
              <w:pStyle w:val="TableRowCentered"/>
              <w:spacing w:line="259" w:lineRule="auto"/>
              <w:jc w:val="left"/>
              <w:rPr>
                <w:rFonts w:ascii="Century Gothic" w:eastAsia="Century Gothic" w:hAnsi="Century Gothic" w:cs="Century Gothic"/>
                <w:b/>
                <w:bCs/>
              </w:rPr>
            </w:pPr>
          </w:p>
          <w:p w14:paraId="7D42A28D" w14:textId="765D1ACA" w:rsidR="6D46604E" w:rsidRDefault="064A557C" w:rsidP="6361019D">
            <w:pPr>
              <w:pStyle w:val="TableRowCentered"/>
              <w:spacing w:line="259" w:lineRule="auto"/>
              <w:jc w:val="left"/>
              <w:rPr>
                <w:rFonts w:ascii="Century Gothic" w:eastAsia="Century Gothic" w:hAnsi="Century Gothic" w:cs="Century Gothic"/>
                <w:b/>
                <w:bCs/>
                <w:color w:val="0D0D0D" w:themeColor="text1" w:themeTint="F2"/>
                <w:szCs w:val="24"/>
              </w:rPr>
            </w:pPr>
            <w:r w:rsidRPr="6361019D">
              <w:rPr>
                <w:rFonts w:ascii="Century Gothic" w:eastAsia="Century Gothic" w:hAnsi="Century Gothic" w:cs="Century Gothic"/>
                <w:b/>
                <w:bCs/>
              </w:rPr>
              <w:t xml:space="preserve">Impact: </w:t>
            </w:r>
            <w:r w:rsidRPr="6361019D">
              <w:rPr>
                <w:rFonts w:ascii="Century Gothic" w:eastAsia="Century Gothic" w:hAnsi="Century Gothic" w:cs="Century Gothic"/>
                <w:color w:val="0D0D0D" w:themeColor="text1" w:themeTint="F2"/>
                <w:szCs w:val="24"/>
              </w:rPr>
              <w:t>Improve readiness to learn, concentration, and cognitive engagement. Support emotional regulation and positive behaviour. Increase attendance, punctuality, and sustained participation. Contribute to improved academic progress, wellbeing, and long-term educational outcomes.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8FA6" w14:textId="1EE55E12" w:rsidR="6D46604E" w:rsidRDefault="6628124A" w:rsidP="43F0618A">
            <w:pPr>
              <w:pStyle w:val="TableRowCentered"/>
              <w:jc w:val="left"/>
              <w:rPr>
                <w:rFonts w:ascii="Century Gothic" w:eastAsia="Century Gothic" w:hAnsi="Century Gothic" w:cs="Century Gothic"/>
                <w:sz w:val="22"/>
                <w:szCs w:val="22"/>
              </w:rPr>
            </w:pPr>
            <w:r w:rsidRPr="2FAC8BC9">
              <w:rPr>
                <w:rFonts w:ascii="Century Gothic" w:eastAsia="Century Gothic" w:hAnsi="Century Gothic" w:cs="Century Gothic"/>
                <w:sz w:val="22"/>
                <w:szCs w:val="22"/>
              </w:rPr>
              <w:t xml:space="preserve">Approximately </w:t>
            </w:r>
            <w:r w:rsidR="5AA4B4B8" w:rsidRPr="2FAC8BC9">
              <w:rPr>
                <w:rFonts w:ascii="Century Gothic" w:eastAsia="Century Gothic" w:hAnsi="Century Gothic" w:cs="Century Gothic"/>
                <w:sz w:val="22"/>
                <w:szCs w:val="22"/>
              </w:rPr>
              <w:t>20</w:t>
            </w:r>
            <w:r w:rsidRPr="2FAC8BC9">
              <w:rPr>
                <w:rFonts w:ascii="Century Gothic" w:eastAsia="Century Gothic" w:hAnsi="Century Gothic" w:cs="Century Gothic"/>
                <w:sz w:val="22"/>
                <w:szCs w:val="22"/>
              </w:rPr>
              <w:t xml:space="preserve"> PP students per year</w:t>
            </w:r>
            <w:r w:rsidR="13DD9354" w:rsidRPr="2FAC8BC9">
              <w:rPr>
                <w:rFonts w:ascii="Century Gothic" w:eastAsia="Century Gothic" w:hAnsi="Century Gothic" w:cs="Century Gothic"/>
                <w:sz w:val="22"/>
                <w:szCs w:val="22"/>
              </w:rPr>
              <w:t xml:space="preserve"> at £3.80 per day - </w:t>
            </w:r>
          </w:p>
          <w:p w14:paraId="5EA7EE01" w14:textId="1D2C844F" w:rsidR="6D46604E" w:rsidRDefault="0FA351A9" w:rsidP="43F0618A">
            <w:pPr>
              <w:pStyle w:val="TableRowCentered"/>
              <w:jc w:val="left"/>
              <w:rPr>
                <w:rFonts w:ascii="Century Gothic" w:eastAsia="Century Gothic" w:hAnsi="Century Gothic" w:cs="Century Gothic"/>
                <w:b/>
                <w:bCs/>
                <w:sz w:val="22"/>
                <w:szCs w:val="22"/>
              </w:rPr>
            </w:pPr>
            <w:r w:rsidRPr="2FAC8BC9">
              <w:rPr>
                <w:rFonts w:ascii="Century Gothic" w:eastAsia="Century Gothic" w:hAnsi="Century Gothic" w:cs="Century Gothic"/>
                <w:b/>
                <w:bCs/>
                <w:sz w:val="22"/>
                <w:szCs w:val="22"/>
              </w:rPr>
              <w:t>£1</w:t>
            </w:r>
            <w:r w:rsidR="2489B13F" w:rsidRPr="2FAC8BC9">
              <w:rPr>
                <w:rFonts w:ascii="Century Gothic" w:eastAsia="Century Gothic" w:hAnsi="Century Gothic" w:cs="Century Gothic"/>
                <w:b/>
                <w:bCs/>
                <w:sz w:val="22"/>
                <w:szCs w:val="22"/>
              </w:rPr>
              <w:t>4,212</w:t>
            </w:r>
          </w:p>
          <w:p w14:paraId="46D41FDE" w14:textId="6E91AA31" w:rsidR="2FAC8BC9" w:rsidRDefault="2FAC8BC9" w:rsidP="2FAC8BC9">
            <w:pPr>
              <w:pStyle w:val="TableRowCentered"/>
              <w:ind w:left="0"/>
              <w:jc w:val="left"/>
              <w:rPr>
                <w:rFonts w:ascii="Century Gothic" w:eastAsia="Century Gothic" w:hAnsi="Century Gothic" w:cs="Century Gothic"/>
                <w:b/>
                <w:bCs/>
                <w:sz w:val="22"/>
                <w:szCs w:val="22"/>
              </w:rPr>
            </w:pPr>
          </w:p>
          <w:p w14:paraId="1AA32CD2" w14:textId="30096438" w:rsidR="6D46604E" w:rsidRDefault="6D46604E" w:rsidP="43F0618A">
            <w:pPr>
              <w:pStyle w:val="TableRowCentered"/>
              <w:jc w:val="left"/>
              <w:rPr>
                <w:rFonts w:ascii="Century Gothic" w:eastAsia="Century Gothic" w:hAnsi="Century Gothic" w:cs="Century Gothic"/>
                <w:sz w:val="22"/>
                <w:szCs w:val="22"/>
              </w:rPr>
            </w:pPr>
          </w:p>
          <w:p w14:paraId="7D5EED9A" w14:textId="003ACB4B" w:rsidR="6D46604E" w:rsidRDefault="6D46604E" w:rsidP="43F0618A">
            <w:pPr>
              <w:pStyle w:val="TableRowCentered"/>
              <w:jc w:val="left"/>
              <w:rPr>
                <w:rFonts w:ascii="Century Gothic" w:eastAsia="Century Gothic" w:hAnsi="Century Gothic" w:cs="Century Gothic"/>
                <w:sz w:val="22"/>
                <w:szCs w:val="22"/>
              </w:rPr>
            </w:pPr>
          </w:p>
          <w:p w14:paraId="0D6CDE26" w14:textId="3F335EA1" w:rsidR="6D46604E" w:rsidRDefault="6D46604E" w:rsidP="43F0618A">
            <w:pPr>
              <w:pStyle w:val="TableRowCentered"/>
              <w:jc w:val="left"/>
              <w:rPr>
                <w:rFonts w:ascii="Century Gothic" w:eastAsia="Century Gothic" w:hAnsi="Century Gothic" w:cs="Century Gothic"/>
                <w:sz w:val="22"/>
                <w:szCs w:val="22"/>
              </w:rPr>
            </w:pPr>
          </w:p>
          <w:p w14:paraId="275D3845" w14:textId="696DCA4C" w:rsidR="6D46604E" w:rsidRDefault="61C5E58A" w:rsidP="6D46604E">
            <w:pPr>
              <w:pStyle w:val="TableRowCentered"/>
              <w:jc w:val="left"/>
              <w:rPr>
                <w:rFonts w:ascii="Century Gothic" w:eastAsia="Century Gothic" w:hAnsi="Century Gothic" w:cs="Century Gothic"/>
                <w:sz w:val="22"/>
                <w:szCs w:val="22"/>
              </w:rPr>
            </w:pPr>
            <w:r w:rsidRPr="43F0618A">
              <w:rPr>
                <w:rFonts w:ascii="Century Gothic" w:eastAsia="Century Gothic" w:hAnsi="Century Gothic" w:cs="Century Gothic"/>
                <w:sz w:val="22"/>
                <w:szCs w:val="22"/>
              </w:rPr>
              <w:t>1, 3, 6</w:t>
            </w:r>
          </w:p>
        </w:tc>
      </w:tr>
    </w:tbl>
    <w:p w14:paraId="2A7D5540" w14:textId="77777777" w:rsidR="00E66558" w:rsidRDefault="00E66558" w:rsidP="1CD8E600">
      <w:pPr>
        <w:spacing w:before="240" w:after="0"/>
        <w:rPr>
          <w:rFonts w:ascii="Century Gothic" w:eastAsia="Century Gothic" w:hAnsi="Century Gothic" w:cs="Century Gothic"/>
          <w:b/>
          <w:bCs/>
          <w:color w:val="104F75"/>
          <w:sz w:val="28"/>
          <w:szCs w:val="28"/>
        </w:rPr>
      </w:pPr>
    </w:p>
    <w:p w14:paraId="2A7D5541" w14:textId="0FF4189B" w:rsidR="00E66558" w:rsidRPr="00BB480E" w:rsidRDefault="1421AE7A" w:rsidP="2FAC8BC9">
      <w:pPr>
        <w:rPr>
          <w:rFonts w:ascii="Century Gothic" w:eastAsia="Century Gothic" w:hAnsi="Century Gothic" w:cs="Century Gothic"/>
          <w:i/>
          <w:iCs/>
          <w:color w:val="036308"/>
          <w:sz w:val="28"/>
          <w:szCs w:val="28"/>
        </w:rPr>
      </w:pPr>
      <w:r w:rsidRPr="2FAC8BC9">
        <w:rPr>
          <w:rFonts w:ascii="Century Gothic" w:eastAsia="Century Gothic" w:hAnsi="Century Gothic" w:cs="Century Gothic"/>
          <w:b/>
          <w:bCs/>
          <w:color w:val="036308"/>
          <w:sz w:val="28"/>
          <w:szCs w:val="28"/>
        </w:rPr>
        <w:t xml:space="preserve">Total budgeted cost: £ </w:t>
      </w:r>
      <w:r w:rsidR="080A988E" w:rsidRPr="2FAC8BC9">
        <w:rPr>
          <w:rFonts w:ascii="Century Gothic" w:eastAsia="Century Gothic" w:hAnsi="Century Gothic" w:cs="Century Gothic"/>
          <w:i/>
          <w:iCs/>
          <w:color w:val="036308"/>
          <w:sz w:val="28"/>
          <w:szCs w:val="28"/>
        </w:rPr>
        <w:t>5</w:t>
      </w:r>
      <w:r w:rsidR="29FF4106" w:rsidRPr="2FAC8BC9">
        <w:rPr>
          <w:rFonts w:ascii="Century Gothic" w:eastAsia="Century Gothic" w:hAnsi="Century Gothic" w:cs="Century Gothic"/>
          <w:i/>
          <w:iCs/>
          <w:color w:val="036308"/>
          <w:sz w:val="28"/>
          <w:szCs w:val="28"/>
        </w:rPr>
        <w:t>5,076</w:t>
      </w:r>
    </w:p>
    <w:p w14:paraId="2A7D5542" w14:textId="18352EC3" w:rsidR="00E66558" w:rsidRPr="00064366" w:rsidRDefault="009D71E8" w:rsidP="1CD8E600">
      <w:pPr>
        <w:pStyle w:val="Heading1"/>
        <w:rPr>
          <w:rFonts w:ascii="Century Gothic" w:eastAsia="Century Gothic" w:hAnsi="Century Gothic" w:cs="Century Gothic"/>
          <w:color w:val="036308"/>
        </w:rPr>
      </w:pPr>
      <w:r w:rsidRPr="1CD8E600">
        <w:rPr>
          <w:rFonts w:ascii="Century Gothic" w:eastAsia="Century Gothic" w:hAnsi="Century Gothic" w:cs="Century Gothic"/>
          <w:color w:val="036308"/>
        </w:rPr>
        <w:lastRenderedPageBreak/>
        <w:t>Part B: Review of the previous academic year</w:t>
      </w:r>
    </w:p>
    <w:p w14:paraId="751285B7" w14:textId="72ACB452" w:rsidR="008B6404" w:rsidRDefault="00064366" w:rsidP="1CD8E600">
      <w:pPr>
        <w:pStyle w:val="Heading2"/>
        <w:rPr>
          <w:rFonts w:ascii="Century Gothic" w:eastAsia="Century Gothic" w:hAnsi="Century Gothic" w:cs="Century Gothic"/>
          <w:color w:val="036308"/>
        </w:rPr>
      </w:pPr>
      <w:r w:rsidRPr="1CD8E600">
        <w:rPr>
          <w:rFonts w:ascii="Century Gothic" w:eastAsia="Century Gothic" w:hAnsi="Century Gothic" w:cs="Century Gothic"/>
          <w:color w:val="036308"/>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2FAC8BC9">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6FB49" w14:textId="60BC2260" w:rsidR="00930EE0" w:rsidRDefault="335013F1" w:rsidP="57E914DD">
            <w:pPr>
              <w:rPr>
                <w:rFonts w:ascii="Century Gothic" w:eastAsia="Century Gothic" w:hAnsi="Century Gothic" w:cs="Century Gothic"/>
                <w:b/>
                <w:bCs/>
                <w:sz w:val="22"/>
                <w:szCs w:val="22"/>
              </w:rPr>
            </w:pPr>
            <w:r w:rsidRPr="57E914DD">
              <w:rPr>
                <w:rFonts w:ascii="Century Gothic" w:eastAsia="Century Gothic" w:hAnsi="Century Gothic" w:cs="Century Gothic"/>
                <w:b/>
                <w:bCs/>
                <w:sz w:val="22"/>
                <w:szCs w:val="22"/>
              </w:rPr>
              <w:t>GCSE Results Summer 2025:</w:t>
            </w:r>
          </w:p>
          <w:tbl>
            <w:tblPr>
              <w:tblStyle w:val="TableGrid"/>
              <w:tblW w:w="0" w:type="auto"/>
              <w:tblLook w:val="06A0" w:firstRow="1" w:lastRow="0" w:firstColumn="1" w:lastColumn="0" w:noHBand="1" w:noVBand="1"/>
            </w:tblPr>
            <w:tblGrid>
              <w:gridCol w:w="3089"/>
              <w:gridCol w:w="3089"/>
              <w:gridCol w:w="3089"/>
            </w:tblGrid>
            <w:tr w:rsidR="57E914DD" w14:paraId="54B7FE75" w14:textId="77777777" w:rsidTr="57E914DD">
              <w:trPr>
                <w:trHeight w:val="300"/>
              </w:trPr>
              <w:tc>
                <w:tcPr>
                  <w:tcW w:w="3090" w:type="dxa"/>
                  <w:shd w:val="clear" w:color="auto" w:fill="D6E3BC" w:themeFill="accent3" w:themeFillTint="66"/>
                </w:tcPr>
                <w:p w14:paraId="6058F250" w14:textId="57A93324" w:rsidR="57E914DD" w:rsidRDefault="57E914DD" w:rsidP="57E914DD">
                  <w:pPr>
                    <w:rPr>
                      <w:rFonts w:ascii="Century Gothic" w:eastAsia="Century Gothic" w:hAnsi="Century Gothic" w:cs="Century Gothic"/>
                      <w:sz w:val="22"/>
                      <w:szCs w:val="22"/>
                    </w:rPr>
                  </w:pPr>
                </w:p>
              </w:tc>
              <w:tc>
                <w:tcPr>
                  <w:tcW w:w="3090" w:type="dxa"/>
                  <w:shd w:val="clear" w:color="auto" w:fill="D6E3BC" w:themeFill="accent3" w:themeFillTint="66"/>
                  <w:vAlign w:val="center"/>
                </w:tcPr>
                <w:p w14:paraId="432F8C0E" w14:textId="6D6132BD"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Non-PP students</w:t>
                  </w:r>
                </w:p>
              </w:tc>
              <w:tc>
                <w:tcPr>
                  <w:tcW w:w="3090" w:type="dxa"/>
                  <w:shd w:val="clear" w:color="auto" w:fill="D6E3BC" w:themeFill="accent3" w:themeFillTint="66"/>
                  <w:vAlign w:val="center"/>
                </w:tcPr>
                <w:p w14:paraId="5D343667" w14:textId="176A0983"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PP Students</w:t>
                  </w:r>
                </w:p>
              </w:tc>
            </w:tr>
            <w:tr w:rsidR="57E914DD" w14:paraId="02083CFA" w14:textId="77777777" w:rsidTr="57E914DD">
              <w:trPr>
                <w:trHeight w:val="300"/>
              </w:trPr>
              <w:tc>
                <w:tcPr>
                  <w:tcW w:w="3090" w:type="dxa"/>
                  <w:shd w:val="clear" w:color="auto" w:fill="D6E3BC" w:themeFill="accent3" w:themeFillTint="66"/>
                </w:tcPr>
                <w:p w14:paraId="21370433" w14:textId="79630643" w:rsidR="335013F1" w:rsidRDefault="335013F1"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Left Greenwood with 1 or more GCSE’s</w:t>
                  </w:r>
                </w:p>
              </w:tc>
              <w:tc>
                <w:tcPr>
                  <w:tcW w:w="3090" w:type="dxa"/>
                  <w:vAlign w:val="center"/>
                </w:tcPr>
                <w:p w14:paraId="47A737F9" w14:textId="65C48F01"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85.71%</w:t>
                  </w:r>
                </w:p>
              </w:tc>
              <w:tc>
                <w:tcPr>
                  <w:tcW w:w="3090" w:type="dxa"/>
                  <w:vAlign w:val="center"/>
                </w:tcPr>
                <w:p w14:paraId="7D9F6B32" w14:textId="15434C4C"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83.33%</w:t>
                  </w:r>
                </w:p>
              </w:tc>
            </w:tr>
            <w:tr w:rsidR="57E914DD" w14:paraId="7DBFC95F" w14:textId="77777777" w:rsidTr="57E914DD">
              <w:trPr>
                <w:trHeight w:val="300"/>
              </w:trPr>
              <w:tc>
                <w:tcPr>
                  <w:tcW w:w="3090" w:type="dxa"/>
                  <w:shd w:val="clear" w:color="auto" w:fill="D6E3BC" w:themeFill="accent3" w:themeFillTint="66"/>
                </w:tcPr>
                <w:p w14:paraId="7DA3A06F" w14:textId="0033D71E" w:rsidR="335013F1" w:rsidRDefault="335013F1"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Left Greenwood with 3 or more GCSE’s</w:t>
                  </w:r>
                </w:p>
              </w:tc>
              <w:tc>
                <w:tcPr>
                  <w:tcW w:w="3090" w:type="dxa"/>
                  <w:vAlign w:val="center"/>
                </w:tcPr>
                <w:p w14:paraId="261F08AC" w14:textId="7F983D3A"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50%</w:t>
                  </w:r>
                </w:p>
              </w:tc>
              <w:tc>
                <w:tcPr>
                  <w:tcW w:w="3090" w:type="dxa"/>
                  <w:vAlign w:val="center"/>
                </w:tcPr>
                <w:p w14:paraId="4F395C4A" w14:textId="2F31FB66"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66.67%</w:t>
                  </w:r>
                </w:p>
              </w:tc>
            </w:tr>
            <w:tr w:rsidR="57E914DD" w14:paraId="400D9C78" w14:textId="77777777" w:rsidTr="57E914DD">
              <w:trPr>
                <w:trHeight w:val="555"/>
              </w:trPr>
              <w:tc>
                <w:tcPr>
                  <w:tcW w:w="3090" w:type="dxa"/>
                  <w:shd w:val="clear" w:color="auto" w:fill="D6E3BC" w:themeFill="accent3" w:themeFillTint="66"/>
                </w:tcPr>
                <w:p w14:paraId="4191FDD1" w14:textId="0BDD0C0D" w:rsidR="335013F1" w:rsidRDefault="335013F1"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Left Greenwood with 5 or more GCSE’s</w:t>
                  </w:r>
                </w:p>
              </w:tc>
              <w:tc>
                <w:tcPr>
                  <w:tcW w:w="3090" w:type="dxa"/>
                  <w:vAlign w:val="center"/>
                </w:tcPr>
                <w:p w14:paraId="38F1137B" w14:textId="0C91F5D6"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21.42%</w:t>
                  </w:r>
                </w:p>
              </w:tc>
              <w:tc>
                <w:tcPr>
                  <w:tcW w:w="3090" w:type="dxa"/>
                  <w:vAlign w:val="center"/>
                </w:tcPr>
                <w:p w14:paraId="6D57D63B" w14:textId="378314E6" w:rsidR="335013F1" w:rsidRDefault="335013F1"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25%</w:t>
                  </w:r>
                </w:p>
              </w:tc>
            </w:tr>
            <w:tr w:rsidR="57E914DD" w14:paraId="058F6EF3" w14:textId="77777777" w:rsidTr="57E914DD">
              <w:trPr>
                <w:trHeight w:val="555"/>
              </w:trPr>
              <w:tc>
                <w:tcPr>
                  <w:tcW w:w="3090" w:type="dxa"/>
                  <w:shd w:val="clear" w:color="auto" w:fill="D6E3BC" w:themeFill="accent3" w:themeFillTint="66"/>
                </w:tcPr>
                <w:p w14:paraId="31E27146" w14:textId="5B311608" w:rsidR="62A74E8C" w:rsidRDefault="62A74E8C"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Gained a GCSE in both English and Maths</w:t>
                  </w:r>
                </w:p>
              </w:tc>
              <w:tc>
                <w:tcPr>
                  <w:tcW w:w="3090" w:type="dxa"/>
                  <w:vAlign w:val="center"/>
                </w:tcPr>
                <w:p w14:paraId="604F29CF" w14:textId="6A71297C" w:rsidR="5E69262A" w:rsidRDefault="5E69262A"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64.28%</w:t>
                  </w:r>
                </w:p>
              </w:tc>
              <w:tc>
                <w:tcPr>
                  <w:tcW w:w="3090" w:type="dxa"/>
                  <w:vAlign w:val="center"/>
                </w:tcPr>
                <w:p w14:paraId="5F07CFF7" w14:textId="0B6BB7F8" w:rsidR="62A74E8C" w:rsidRDefault="62A74E8C"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66.67%</w:t>
                  </w:r>
                </w:p>
              </w:tc>
            </w:tr>
            <w:tr w:rsidR="57E914DD" w14:paraId="1CEDD85E" w14:textId="77777777" w:rsidTr="57E914DD">
              <w:trPr>
                <w:trHeight w:val="555"/>
              </w:trPr>
              <w:tc>
                <w:tcPr>
                  <w:tcW w:w="3090" w:type="dxa"/>
                  <w:shd w:val="clear" w:color="auto" w:fill="D6E3BC" w:themeFill="accent3" w:themeFillTint="66"/>
                </w:tcPr>
                <w:p w14:paraId="1DAFB440" w14:textId="110FAFE5" w:rsidR="0386ADB9" w:rsidRDefault="0386ADB9"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Gained a qualification in both English and Maths</w:t>
                  </w:r>
                </w:p>
              </w:tc>
              <w:tc>
                <w:tcPr>
                  <w:tcW w:w="3090" w:type="dxa"/>
                  <w:vAlign w:val="center"/>
                </w:tcPr>
                <w:p w14:paraId="0FBBB8F9" w14:textId="2CEB355A" w:rsidR="7FA756E3" w:rsidRDefault="7FA756E3"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71.42%</w:t>
                  </w:r>
                </w:p>
              </w:tc>
              <w:tc>
                <w:tcPr>
                  <w:tcW w:w="3090" w:type="dxa"/>
                  <w:vAlign w:val="center"/>
                </w:tcPr>
                <w:p w14:paraId="5C7E7BCD" w14:textId="4F1D345E" w:rsidR="0386ADB9" w:rsidRDefault="0386ADB9"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91.6%</w:t>
                  </w:r>
                </w:p>
              </w:tc>
            </w:tr>
            <w:tr w:rsidR="57E914DD" w14:paraId="72457166" w14:textId="77777777" w:rsidTr="57E914DD">
              <w:trPr>
                <w:trHeight w:val="555"/>
              </w:trPr>
              <w:tc>
                <w:tcPr>
                  <w:tcW w:w="3090" w:type="dxa"/>
                  <w:shd w:val="clear" w:color="auto" w:fill="D6E3BC" w:themeFill="accent3" w:themeFillTint="66"/>
                </w:tcPr>
                <w:p w14:paraId="5A83A81A" w14:textId="5D5F7980" w:rsidR="68DE3C6A" w:rsidRDefault="68DE3C6A" w:rsidP="57E914DD">
                  <w:pP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Average number of qualifications students left with</w:t>
                  </w:r>
                </w:p>
              </w:tc>
              <w:tc>
                <w:tcPr>
                  <w:tcW w:w="3090" w:type="dxa"/>
                  <w:vAlign w:val="center"/>
                </w:tcPr>
                <w:p w14:paraId="626831F9" w14:textId="51119EC1" w:rsidR="43C5C6E3" w:rsidRDefault="43C5C6E3"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5.93</w:t>
                  </w:r>
                </w:p>
              </w:tc>
              <w:tc>
                <w:tcPr>
                  <w:tcW w:w="3090" w:type="dxa"/>
                  <w:vAlign w:val="center"/>
                </w:tcPr>
                <w:p w14:paraId="34F8C1DD" w14:textId="1563BFFB" w:rsidR="68DE3C6A" w:rsidRDefault="68DE3C6A"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6.33</w:t>
                  </w:r>
                </w:p>
              </w:tc>
            </w:tr>
          </w:tbl>
          <w:p w14:paraId="557DEF16" w14:textId="11A8692E" w:rsidR="57E914DD" w:rsidRDefault="69D88BF8" w:rsidP="57E914DD">
            <w:pPr>
              <w:rPr>
                <w:rFonts w:ascii="Century Gothic" w:eastAsia="Century Gothic" w:hAnsi="Century Gothic" w:cs="Century Gothic"/>
                <w:sz w:val="22"/>
                <w:szCs w:val="22"/>
              </w:rPr>
            </w:pPr>
            <w:r w:rsidRPr="2FAC8BC9">
              <w:rPr>
                <w:rFonts w:ascii="Century Gothic" w:eastAsia="Century Gothic" w:hAnsi="Century Gothic" w:cs="Century Gothic"/>
                <w:sz w:val="22"/>
                <w:szCs w:val="22"/>
              </w:rPr>
              <w:t>T</w:t>
            </w:r>
            <w:r w:rsidR="6C15D551" w:rsidRPr="2FAC8BC9">
              <w:rPr>
                <w:rFonts w:ascii="Century Gothic" w:eastAsia="Century Gothic" w:hAnsi="Century Gothic" w:cs="Century Gothic"/>
                <w:sz w:val="22"/>
                <w:szCs w:val="22"/>
              </w:rPr>
              <w:t>he data shows</w:t>
            </w:r>
            <w:r w:rsidR="4762AF15" w:rsidRPr="2FAC8BC9">
              <w:rPr>
                <w:rFonts w:ascii="Century Gothic" w:eastAsia="Century Gothic" w:hAnsi="Century Gothic" w:cs="Century Gothic"/>
                <w:sz w:val="22"/>
                <w:szCs w:val="22"/>
              </w:rPr>
              <w:t xml:space="preserve"> that</w:t>
            </w:r>
            <w:r w:rsidR="6C15D551" w:rsidRPr="2FAC8BC9">
              <w:rPr>
                <w:rFonts w:ascii="Century Gothic" w:eastAsia="Century Gothic" w:hAnsi="Century Gothic" w:cs="Century Gothic"/>
                <w:sz w:val="22"/>
                <w:szCs w:val="22"/>
              </w:rPr>
              <w:t xml:space="preserve"> more PP students left Greenwood in 2025 with 5 or more GCSE’s than non-PP students. </w:t>
            </w:r>
            <w:r w:rsidR="0858B949" w:rsidRPr="2FAC8BC9">
              <w:rPr>
                <w:rFonts w:ascii="Century Gothic" w:eastAsia="Century Gothic" w:hAnsi="Century Gothic" w:cs="Century Gothic"/>
                <w:sz w:val="22"/>
                <w:szCs w:val="22"/>
              </w:rPr>
              <w:t>The percentage of PP students leaving with a GCSE in both English and Maths was just above non-PP students and more PP students left with a qualification in both English and Maths than non-PP students. The average number of q</w:t>
            </w:r>
            <w:r w:rsidR="5EC26C8F" w:rsidRPr="2FAC8BC9">
              <w:rPr>
                <w:rFonts w:ascii="Century Gothic" w:eastAsia="Century Gothic" w:hAnsi="Century Gothic" w:cs="Century Gothic"/>
                <w:sz w:val="22"/>
                <w:szCs w:val="22"/>
              </w:rPr>
              <w:t>ualifications non-PP students left with was higher than PP students.</w:t>
            </w:r>
          </w:p>
          <w:p w14:paraId="5B17F371" w14:textId="08AA44F4" w:rsidR="00B65241" w:rsidRDefault="5D7D32DA" w:rsidP="57E914DD">
            <w:pPr>
              <w:rPr>
                <w:rFonts w:ascii="Century Gothic" w:eastAsia="Century Gothic" w:hAnsi="Century Gothic" w:cs="Century Gothic"/>
                <w:b/>
                <w:bCs/>
                <w:sz w:val="22"/>
                <w:szCs w:val="22"/>
              </w:rPr>
            </w:pPr>
            <w:r w:rsidRPr="57E914DD">
              <w:rPr>
                <w:rFonts w:ascii="Century Gothic" w:eastAsia="Century Gothic" w:hAnsi="Century Gothic" w:cs="Century Gothic"/>
                <w:b/>
                <w:bCs/>
                <w:sz w:val="22"/>
                <w:szCs w:val="22"/>
              </w:rPr>
              <w:t>Attendance:</w:t>
            </w:r>
          </w:p>
          <w:p w14:paraId="44A879AD" w14:textId="35A0B3F4" w:rsidR="00B65241" w:rsidRDefault="06387ECE" w:rsidP="57E914DD">
            <w:pPr>
              <w:rPr>
                <w:rFonts w:ascii="Century Gothic" w:eastAsia="Century Gothic" w:hAnsi="Century Gothic" w:cs="Century Gothic"/>
                <w:sz w:val="22"/>
                <w:szCs w:val="22"/>
              </w:rPr>
            </w:pPr>
            <w:r w:rsidRPr="6D46604E">
              <w:rPr>
                <w:rFonts w:ascii="Century Gothic" w:eastAsia="Century Gothic" w:hAnsi="Century Gothic" w:cs="Century Gothic"/>
                <w:sz w:val="22"/>
                <w:szCs w:val="22"/>
              </w:rPr>
              <w:t xml:space="preserve">At the end of SPRING TERM 2 </w:t>
            </w:r>
            <w:r w:rsidR="4CF1C2F3" w:rsidRPr="6D46604E">
              <w:rPr>
                <w:rFonts w:ascii="Century Gothic" w:eastAsia="Century Gothic" w:hAnsi="Century Gothic" w:cs="Century Gothic"/>
                <w:sz w:val="22"/>
                <w:szCs w:val="22"/>
              </w:rPr>
              <w:t xml:space="preserve">2025 </w:t>
            </w:r>
            <w:r w:rsidRPr="6D46604E">
              <w:rPr>
                <w:rFonts w:ascii="Century Gothic" w:eastAsia="Century Gothic" w:hAnsi="Century Gothic" w:cs="Century Gothic"/>
                <w:sz w:val="22"/>
                <w:szCs w:val="22"/>
              </w:rPr>
              <w:t>(</w:t>
            </w:r>
            <w:proofErr w:type="gramStart"/>
            <w:r w:rsidR="06415819" w:rsidRPr="6D46604E">
              <w:rPr>
                <w:rFonts w:ascii="Century Gothic" w:eastAsia="Century Gothic" w:hAnsi="Century Gothic" w:cs="Century Gothic"/>
                <w:sz w:val="22"/>
                <w:szCs w:val="22"/>
              </w:rPr>
              <w:t>in order t</w:t>
            </w:r>
            <w:r w:rsidRPr="6D46604E">
              <w:rPr>
                <w:rFonts w:ascii="Century Gothic" w:eastAsia="Century Gothic" w:hAnsi="Century Gothic" w:cs="Century Gothic"/>
                <w:sz w:val="22"/>
                <w:szCs w:val="22"/>
              </w:rPr>
              <w:t>o</w:t>
            </w:r>
            <w:proofErr w:type="gramEnd"/>
            <w:r w:rsidRPr="6D46604E">
              <w:rPr>
                <w:rFonts w:ascii="Century Gothic" w:eastAsia="Century Gothic" w:hAnsi="Century Gothic" w:cs="Century Gothic"/>
                <w:sz w:val="22"/>
                <w:szCs w:val="22"/>
              </w:rPr>
              <w:t xml:space="preserve"> include year 11 cohort)</w:t>
            </w:r>
            <w:r w:rsidR="4C413B6F" w:rsidRPr="6D46604E">
              <w:rPr>
                <w:rFonts w:ascii="Century Gothic" w:eastAsia="Century Gothic" w:hAnsi="Century Gothic" w:cs="Century Gothic"/>
                <w:sz w:val="22"/>
                <w:szCs w:val="22"/>
              </w:rPr>
              <w:t xml:space="preserve"> PP students' overall attendance was 60.77%. Non-PP students' overall attendance was 54.2%.</w:t>
            </w:r>
          </w:p>
          <w:p w14:paraId="2826E0D3" w14:textId="30A6588E" w:rsidR="00B65241" w:rsidRDefault="4331505A" w:rsidP="57E914DD">
            <w:pPr>
              <w:rPr>
                <w:rFonts w:ascii="Century Gothic" w:eastAsia="Century Gothic" w:hAnsi="Century Gothic" w:cs="Century Gothic"/>
                <w:b/>
                <w:bCs/>
                <w:sz w:val="22"/>
                <w:szCs w:val="22"/>
              </w:rPr>
            </w:pPr>
            <w:r w:rsidRPr="57E914DD">
              <w:rPr>
                <w:rFonts w:ascii="Century Gothic" w:eastAsia="Century Gothic" w:hAnsi="Century Gothic" w:cs="Century Gothic"/>
                <w:b/>
                <w:bCs/>
                <w:sz w:val="22"/>
                <w:szCs w:val="22"/>
              </w:rPr>
              <w:t>Suspensions:</w:t>
            </w:r>
          </w:p>
          <w:tbl>
            <w:tblPr>
              <w:tblStyle w:val="TableGrid"/>
              <w:tblW w:w="0" w:type="auto"/>
              <w:tblLook w:val="06A0" w:firstRow="1" w:lastRow="0" w:firstColumn="1" w:lastColumn="0" w:noHBand="1" w:noVBand="1"/>
            </w:tblPr>
            <w:tblGrid>
              <w:gridCol w:w="3089"/>
              <w:gridCol w:w="3089"/>
              <w:gridCol w:w="3089"/>
            </w:tblGrid>
            <w:tr w:rsidR="57E914DD" w14:paraId="2AB48758" w14:textId="77777777" w:rsidTr="2FAC8BC9">
              <w:trPr>
                <w:trHeight w:val="300"/>
              </w:trPr>
              <w:tc>
                <w:tcPr>
                  <w:tcW w:w="3090" w:type="dxa"/>
                  <w:shd w:val="clear" w:color="auto" w:fill="D6E3BC" w:themeFill="accent3" w:themeFillTint="66"/>
                </w:tcPr>
                <w:p w14:paraId="0B401E18" w14:textId="053F14AF" w:rsidR="57E914DD" w:rsidRDefault="57E914DD" w:rsidP="57E914DD">
                  <w:pPr>
                    <w:rPr>
                      <w:rFonts w:ascii="Century Gothic" w:eastAsia="Century Gothic" w:hAnsi="Century Gothic" w:cs="Century Gothic"/>
                      <w:sz w:val="22"/>
                      <w:szCs w:val="22"/>
                    </w:rPr>
                  </w:pPr>
                </w:p>
              </w:tc>
              <w:tc>
                <w:tcPr>
                  <w:tcW w:w="3090" w:type="dxa"/>
                  <w:shd w:val="clear" w:color="auto" w:fill="D6E3BC" w:themeFill="accent3" w:themeFillTint="66"/>
                </w:tcPr>
                <w:p w14:paraId="0F2FA1CA" w14:textId="6D6132BD" w:rsidR="57E914DD" w:rsidRDefault="57E914DD"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Non-PP students</w:t>
                  </w:r>
                </w:p>
              </w:tc>
              <w:tc>
                <w:tcPr>
                  <w:tcW w:w="3090" w:type="dxa"/>
                  <w:shd w:val="clear" w:color="auto" w:fill="D6E3BC" w:themeFill="accent3" w:themeFillTint="66"/>
                </w:tcPr>
                <w:p w14:paraId="7FCFD7AC" w14:textId="176A0983" w:rsidR="57E914DD" w:rsidRDefault="57E914DD" w:rsidP="57E914DD">
                  <w:pPr>
                    <w:jc w:val="center"/>
                    <w:rPr>
                      <w:rFonts w:ascii="Century Gothic" w:eastAsia="Century Gothic" w:hAnsi="Century Gothic" w:cs="Century Gothic"/>
                      <w:sz w:val="22"/>
                      <w:szCs w:val="22"/>
                    </w:rPr>
                  </w:pPr>
                  <w:r w:rsidRPr="57E914DD">
                    <w:rPr>
                      <w:rFonts w:ascii="Century Gothic" w:eastAsia="Century Gothic" w:hAnsi="Century Gothic" w:cs="Century Gothic"/>
                      <w:sz w:val="22"/>
                      <w:szCs w:val="22"/>
                    </w:rPr>
                    <w:t>PP Students</w:t>
                  </w:r>
                </w:p>
              </w:tc>
            </w:tr>
            <w:tr w:rsidR="57E914DD" w14:paraId="2DC18079" w14:textId="77777777" w:rsidTr="2FAC8BC9">
              <w:trPr>
                <w:trHeight w:val="675"/>
              </w:trPr>
              <w:tc>
                <w:tcPr>
                  <w:tcW w:w="3090" w:type="dxa"/>
                  <w:shd w:val="clear" w:color="auto" w:fill="D6E3BC" w:themeFill="accent3" w:themeFillTint="66"/>
                  <w:vAlign w:val="center"/>
                </w:tcPr>
                <w:p w14:paraId="10F2EF21" w14:textId="5F9EFD6F" w:rsidR="03FCBC04" w:rsidRDefault="03FCBC04" w:rsidP="57E914DD">
                  <w:pPr>
                    <w:rPr>
                      <w:rFonts w:ascii="Century Gothic" w:eastAsia="Century Gothic" w:hAnsi="Century Gothic" w:cs="Century Gothic"/>
                      <w:sz w:val="22"/>
                      <w:szCs w:val="22"/>
                      <w:highlight w:val="green"/>
                    </w:rPr>
                  </w:pPr>
                  <w:r w:rsidRPr="57E914DD">
                    <w:rPr>
                      <w:rFonts w:ascii="Century Gothic" w:eastAsia="Century Gothic" w:hAnsi="Century Gothic" w:cs="Century Gothic"/>
                      <w:sz w:val="22"/>
                      <w:szCs w:val="22"/>
                    </w:rPr>
                    <w:t>Percentage of students suspended 1 or more times</w:t>
                  </w:r>
                  <w:r w:rsidR="3135E01B" w:rsidRPr="57E914DD">
                    <w:rPr>
                      <w:rFonts w:ascii="Century Gothic" w:eastAsia="Century Gothic" w:hAnsi="Century Gothic" w:cs="Century Gothic"/>
                      <w:sz w:val="22"/>
                      <w:szCs w:val="22"/>
                    </w:rPr>
                    <w:t xml:space="preserve"> </w:t>
                  </w:r>
                  <w:r w:rsidR="3135E01B" w:rsidRPr="57E914DD">
                    <w:rPr>
                      <w:rFonts w:ascii="Century Gothic" w:eastAsia="Century Gothic" w:hAnsi="Century Gothic" w:cs="Century Gothic"/>
                      <w:sz w:val="22"/>
                      <w:szCs w:val="22"/>
                    </w:rPr>
                    <w:lastRenderedPageBreak/>
                    <w:t xml:space="preserve">– academic year </w:t>
                  </w:r>
                  <w:r w:rsidR="3135E01B" w:rsidRPr="57E914DD">
                    <w:rPr>
                      <w:rFonts w:ascii="Century Gothic" w:eastAsia="Century Gothic" w:hAnsi="Century Gothic" w:cs="Century Gothic"/>
                      <w:sz w:val="22"/>
                      <w:szCs w:val="22"/>
                      <w:highlight w:val="green"/>
                    </w:rPr>
                    <w:t>2023-2024</w:t>
                  </w:r>
                </w:p>
              </w:tc>
              <w:tc>
                <w:tcPr>
                  <w:tcW w:w="3090" w:type="dxa"/>
                  <w:vAlign w:val="center"/>
                </w:tcPr>
                <w:p w14:paraId="06E947D2" w14:textId="49C29912" w:rsidR="3135E01B" w:rsidRDefault="6298956C" w:rsidP="57E914DD">
                  <w:pPr>
                    <w:jc w:val="center"/>
                    <w:rPr>
                      <w:rFonts w:ascii="Century Gothic" w:eastAsia="Century Gothic" w:hAnsi="Century Gothic" w:cs="Century Gothic"/>
                      <w:sz w:val="22"/>
                      <w:szCs w:val="22"/>
                    </w:rPr>
                  </w:pPr>
                  <w:r w:rsidRPr="2FAC8BC9">
                    <w:rPr>
                      <w:rFonts w:ascii="Century Gothic" w:eastAsia="Century Gothic" w:hAnsi="Century Gothic" w:cs="Century Gothic"/>
                      <w:sz w:val="22"/>
                      <w:szCs w:val="22"/>
                    </w:rPr>
                    <w:lastRenderedPageBreak/>
                    <w:t>40%</w:t>
                  </w:r>
                </w:p>
              </w:tc>
              <w:tc>
                <w:tcPr>
                  <w:tcW w:w="3090" w:type="dxa"/>
                  <w:vAlign w:val="center"/>
                </w:tcPr>
                <w:p w14:paraId="26DE3BDB" w14:textId="3F0118A2" w:rsidR="3135E01B" w:rsidRDefault="37DC9E06" w:rsidP="57E914DD">
                  <w:pPr>
                    <w:jc w:val="center"/>
                    <w:rPr>
                      <w:rFonts w:ascii="Century Gothic" w:eastAsia="Century Gothic" w:hAnsi="Century Gothic" w:cs="Century Gothic"/>
                      <w:sz w:val="22"/>
                      <w:szCs w:val="22"/>
                    </w:rPr>
                  </w:pPr>
                  <w:r w:rsidRPr="2FAC8BC9">
                    <w:rPr>
                      <w:rFonts w:ascii="Century Gothic" w:eastAsia="Century Gothic" w:hAnsi="Century Gothic" w:cs="Century Gothic"/>
                      <w:sz w:val="22"/>
                      <w:szCs w:val="22"/>
                    </w:rPr>
                    <w:t>75.7%</w:t>
                  </w:r>
                </w:p>
              </w:tc>
            </w:tr>
            <w:tr w:rsidR="57E914DD" w14:paraId="2D48415B" w14:textId="77777777" w:rsidTr="2FAC8BC9">
              <w:trPr>
                <w:trHeight w:val="300"/>
              </w:trPr>
              <w:tc>
                <w:tcPr>
                  <w:tcW w:w="3090" w:type="dxa"/>
                  <w:shd w:val="clear" w:color="auto" w:fill="D6E3BC" w:themeFill="accent3" w:themeFillTint="66"/>
                  <w:vAlign w:val="center"/>
                </w:tcPr>
                <w:p w14:paraId="705F459F" w14:textId="553C071D" w:rsidR="3135E01B" w:rsidRDefault="3135E01B" w:rsidP="57E914DD">
                  <w:pPr>
                    <w:rPr>
                      <w:rFonts w:ascii="Century Gothic" w:eastAsia="Century Gothic" w:hAnsi="Century Gothic" w:cs="Century Gothic"/>
                      <w:sz w:val="22"/>
                      <w:szCs w:val="22"/>
                      <w:highlight w:val="green"/>
                    </w:rPr>
                  </w:pPr>
                  <w:r w:rsidRPr="57E914DD">
                    <w:rPr>
                      <w:rFonts w:ascii="Century Gothic" w:eastAsia="Century Gothic" w:hAnsi="Century Gothic" w:cs="Century Gothic"/>
                      <w:sz w:val="22"/>
                      <w:szCs w:val="22"/>
                    </w:rPr>
                    <w:t xml:space="preserve">Percentage of students suspended 1 or more times </w:t>
                  </w:r>
                  <w:r w:rsidRPr="57E914DD">
                    <w:rPr>
                      <w:rFonts w:ascii="Century Gothic" w:eastAsia="Century Gothic" w:hAnsi="Century Gothic" w:cs="Century Gothic"/>
                      <w:sz w:val="22"/>
                      <w:szCs w:val="22"/>
                      <w:highlight w:val="green"/>
                    </w:rPr>
                    <w:t>2024-2025</w:t>
                  </w:r>
                </w:p>
              </w:tc>
              <w:tc>
                <w:tcPr>
                  <w:tcW w:w="3090" w:type="dxa"/>
                  <w:vAlign w:val="center"/>
                </w:tcPr>
                <w:p w14:paraId="43C1FC71" w14:textId="4F9ACBF3" w:rsidR="3135E01B" w:rsidRDefault="5F81ED0D" w:rsidP="57E914DD">
                  <w:pPr>
                    <w:jc w:val="center"/>
                    <w:rPr>
                      <w:rFonts w:ascii="Century Gothic" w:eastAsia="Century Gothic" w:hAnsi="Century Gothic" w:cs="Century Gothic"/>
                      <w:sz w:val="22"/>
                      <w:szCs w:val="22"/>
                    </w:rPr>
                  </w:pPr>
                  <w:r w:rsidRPr="2FAC8BC9">
                    <w:rPr>
                      <w:rFonts w:ascii="Century Gothic" w:eastAsia="Century Gothic" w:hAnsi="Century Gothic" w:cs="Century Gothic"/>
                      <w:sz w:val="22"/>
                      <w:szCs w:val="22"/>
                    </w:rPr>
                    <w:t>54.2%</w:t>
                  </w:r>
                </w:p>
              </w:tc>
              <w:tc>
                <w:tcPr>
                  <w:tcW w:w="3090" w:type="dxa"/>
                  <w:vAlign w:val="center"/>
                </w:tcPr>
                <w:p w14:paraId="602F1B20" w14:textId="59FEBEBA" w:rsidR="3135E01B" w:rsidRDefault="0ACB9005" w:rsidP="57E914DD">
                  <w:pPr>
                    <w:jc w:val="center"/>
                    <w:rPr>
                      <w:rFonts w:ascii="Century Gothic" w:eastAsia="Century Gothic" w:hAnsi="Century Gothic" w:cs="Century Gothic"/>
                      <w:sz w:val="22"/>
                      <w:szCs w:val="22"/>
                    </w:rPr>
                  </w:pPr>
                  <w:r w:rsidRPr="2FAC8BC9">
                    <w:rPr>
                      <w:rFonts w:ascii="Century Gothic" w:eastAsia="Century Gothic" w:hAnsi="Century Gothic" w:cs="Century Gothic"/>
                      <w:sz w:val="22"/>
                      <w:szCs w:val="22"/>
                    </w:rPr>
                    <w:t>68.4%</w:t>
                  </w:r>
                </w:p>
              </w:tc>
            </w:tr>
          </w:tbl>
          <w:p w14:paraId="5023926C" w14:textId="0CC39535" w:rsidR="00B65241" w:rsidRDefault="3ECE220B" w:rsidP="1CD8E600">
            <w:pPr>
              <w:rPr>
                <w:rFonts w:ascii="Century Gothic" w:eastAsia="Century Gothic" w:hAnsi="Century Gothic" w:cs="Century Gothic"/>
              </w:rPr>
            </w:pPr>
            <w:r w:rsidRPr="2FAC8BC9">
              <w:rPr>
                <w:rFonts w:ascii="Century Gothic" w:eastAsia="Century Gothic" w:hAnsi="Century Gothic" w:cs="Century Gothic"/>
              </w:rPr>
              <w:t>Although the data shows that more PP students were s</w:t>
            </w:r>
            <w:r w:rsidR="2C010FC8" w:rsidRPr="2FAC8BC9">
              <w:rPr>
                <w:rFonts w:ascii="Century Gothic" w:eastAsia="Century Gothic" w:hAnsi="Century Gothic" w:cs="Century Gothic"/>
              </w:rPr>
              <w:t>uspended</w:t>
            </w:r>
            <w:r w:rsidR="0C05ADF7" w:rsidRPr="2FAC8BC9">
              <w:rPr>
                <w:rFonts w:ascii="Century Gothic" w:eastAsia="Century Gothic" w:hAnsi="Century Gothic" w:cs="Century Gothic"/>
              </w:rPr>
              <w:t xml:space="preserve"> than non-PP students in 2024-2025, a positive trend is that fewer PP students were suspended than in the previous year, </w:t>
            </w:r>
            <w:r w:rsidR="34F29388" w:rsidRPr="2FAC8BC9">
              <w:rPr>
                <w:rFonts w:ascii="Century Gothic" w:eastAsia="Century Gothic" w:hAnsi="Century Gothic" w:cs="Century Gothic"/>
              </w:rPr>
              <w:t>so the numbers decreased and the gap between PP and non-PP students also decreased in 2024-2025</w:t>
            </w:r>
            <w:r w:rsidR="235E9D9B" w:rsidRPr="2FAC8BC9">
              <w:rPr>
                <w:rFonts w:ascii="Century Gothic" w:eastAsia="Century Gothic" w:hAnsi="Century Gothic" w:cs="Century Gothic"/>
              </w:rPr>
              <w:t>, bringing the figures closer.</w:t>
            </w:r>
          </w:p>
        </w:tc>
      </w:tr>
    </w:tbl>
    <w:p w14:paraId="2A7D5548" w14:textId="0199D85C" w:rsidR="00E66558" w:rsidRDefault="006D6372" w:rsidP="1CD8E600">
      <w:pPr>
        <w:pStyle w:val="Heading2"/>
        <w:rPr>
          <w:rFonts w:ascii="Century Gothic" w:eastAsia="Century Gothic" w:hAnsi="Century Gothic" w:cs="Century Gothic"/>
          <w:color w:val="036308"/>
        </w:rPr>
      </w:pPr>
      <w:r w:rsidRPr="1CD8E600">
        <w:rPr>
          <w:rFonts w:ascii="Century Gothic" w:eastAsia="Century Gothic" w:hAnsi="Century Gothic" w:cs="Century Gothic"/>
          <w:color w:val="036308"/>
        </w:rPr>
        <w:lastRenderedPageBreak/>
        <w:t>E</w:t>
      </w:r>
      <w:r w:rsidR="009D71E8" w:rsidRPr="1CD8E600">
        <w:rPr>
          <w:rFonts w:ascii="Century Gothic" w:eastAsia="Century Gothic" w:hAnsi="Century Gothic" w:cs="Century Gothic"/>
          <w:color w:val="036308"/>
        </w:rPr>
        <w:t>xternally provided programmes</w:t>
      </w:r>
    </w:p>
    <w:p w14:paraId="2A7D5549" w14:textId="1DAEF3DE" w:rsidR="00E66558" w:rsidRDefault="0B240EAF" w:rsidP="1CD8E600">
      <w:pPr>
        <w:rPr>
          <w:rFonts w:ascii="Century Gothic" w:eastAsia="Century Gothic" w:hAnsi="Century Gothic" w:cs="Century Gothic"/>
          <w:i/>
          <w:iCs/>
        </w:rPr>
      </w:pPr>
      <w:r w:rsidRPr="1CD8E600">
        <w:rPr>
          <w:rFonts w:ascii="Century Gothic" w:eastAsia="Century Gothic" w:hAnsi="Century Gothic" w:cs="Century Gothic"/>
          <w:i/>
          <w:iCs/>
        </w:rPr>
        <w:t xml:space="preserve">Please include the names of any non-DfE programmes that you </w:t>
      </w:r>
      <w:r w:rsidR="491E3A64" w:rsidRPr="1CD8E600">
        <w:rPr>
          <w:rFonts w:ascii="Century Gothic" w:eastAsia="Century Gothic" w:hAnsi="Century Gothic" w:cs="Century Gothic"/>
          <w:i/>
          <w:iCs/>
        </w:rPr>
        <w:t xml:space="preserve">used your pupil premium (or recovery premium) to fund </w:t>
      </w:r>
      <w:r w:rsidRPr="1CD8E600">
        <w:rPr>
          <w:rFonts w:ascii="Century Gothic" w:eastAsia="Century Gothic" w:hAnsi="Century Gothic" w:cs="Century Gothic"/>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4A"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0" w:type="dxa"/>
              <w:left w:w="108" w:type="dxa"/>
              <w:bottom w:w="0" w:type="dxa"/>
              <w:right w:w="108" w:type="dxa"/>
            </w:tcMar>
          </w:tcPr>
          <w:p w14:paraId="2A7D554B" w14:textId="77777777" w:rsidR="00E66558" w:rsidRDefault="009D71E8" w:rsidP="1CD8E600">
            <w:pPr>
              <w:pStyle w:val="TableHeader"/>
              <w:jc w:val="left"/>
              <w:rPr>
                <w:rFonts w:ascii="Century Gothic" w:eastAsia="Century Gothic" w:hAnsi="Century Gothic" w:cs="Century Gothic"/>
              </w:rPr>
            </w:pPr>
            <w:r w:rsidRPr="1CD8E600">
              <w:rPr>
                <w:rFonts w:ascii="Century Gothic" w:eastAsia="Century Gothic" w:hAnsi="Century Gothic" w:cs="Century Gothic"/>
              </w:rPr>
              <w:t>Provider</w:t>
            </w:r>
          </w:p>
        </w:tc>
      </w:tr>
      <w:tr w:rsidR="00E66558" w14:paraId="2A7D5552" w14:textId="77777777" w:rsidTr="57E914D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56643159" w:rsidR="00E66558" w:rsidRDefault="00252B55" w:rsidP="1CD8E600">
            <w:pPr>
              <w:pStyle w:val="TableRow"/>
              <w:ind w:left="0"/>
              <w:rPr>
                <w:rFonts w:ascii="Century Gothic" w:eastAsia="Century Gothic" w:hAnsi="Century Gothic" w:cs="Century Gothic"/>
              </w:rPr>
            </w:pPr>
            <w:r w:rsidRPr="1CD8E600">
              <w:rPr>
                <w:rFonts w:ascii="Century Gothic" w:eastAsia="Century Gothic" w:hAnsi="Century Gothic" w:cs="Century Gothic"/>
              </w:rPr>
              <w:t xml:space="preserve">Online Tutoring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0F8F5ED1" w:rsidR="00E66558" w:rsidRDefault="1D85D5EC" w:rsidP="57E914DD">
            <w:pPr>
              <w:pStyle w:val="TableRowCentered"/>
              <w:spacing w:line="259" w:lineRule="auto"/>
              <w:jc w:val="left"/>
            </w:pPr>
            <w:r w:rsidRPr="57E914DD">
              <w:rPr>
                <w:rFonts w:ascii="Century Gothic" w:eastAsia="Century Gothic" w:hAnsi="Century Gothic" w:cs="Century Gothic"/>
              </w:rPr>
              <w:t>Tute</w:t>
            </w:r>
          </w:p>
        </w:tc>
      </w:tr>
      <w:bookmarkEnd w:id="14"/>
      <w:bookmarkEnd w:id="15"/>
      <w:bookmarkEnd w:id="16"/>
    </w:tbl>
    <w:p w14:paraId="2A7D5564" w14:textId="77777777" w:rsidR="00E66558" w:rsidRDefault="00E66558" w:rsidP="00252B55"/>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6AF4" w14:textId="77777777" w:rsidR="0054081C" w:rsidRDefault="0054081C">
      <w:pPr>
        <w:spacing w:after="0" w:line="240" w:lineRule="auto"/>
      </w:pPr>
      <w:r>
        <w:separator/>
      </w:r>
    </w:p>
  </w:endnote>
  <w:endnote w:type="continuationSeparator" w:id="0">
    <w:p w14:paraId="48FD8E76" w14:textId="77777777" w:rsidR="0054081C" w:rsidRDefault="0054081C">
      <w:pPr>
        <w:spacing w:after="0" w:line="240" w:lineRule="auto"/>
      </w:pPr>
      <w:r>
        <w:continuationSeparator/>
      </w:r>
    </w:p>
  </w:endnote>
  <w:endnote w:type="continuationNotice" w:id="1">
    <w:p w14:paraId="7087D55B" w14:textId="77777777" w:rsidR="0054081C" w:rsidRDefault="00540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34CEE659" w:rsidR="001B2294" w:rsidRDefault="001B2294" w:rsidP="38D30253">
    <w:pPr>
      <w:pStyle w:val="TableRow"/>
      <w:rPr>
        <w:rFonts w:ascii="Century Gothic" w:eastAsia="Century Gothic" w:hAnsi="Century Gothic" w:cs="Century Gothic"/>
        <w:b/>
        <w:bCs/>
      </w:rPr>
    </w:pPr>
    <w:r>
      <w:fldChar w:fldCharType="begin"/>
    </w:r>
    <w:r>
      <w:instrText xml:space="preserve"> PAGE </w:instrText>
    </w:r>
    <w:r>
      <w:fldChar w:fldCharType="separate"/>
    </w:r>
    <w:r w:rsidR="6361019D">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BE19" w14:textId="77777777" w:rsidR="0054081C" w:rsidRDefault="0054081C">
      <w:pPr>
        <w:spacing w:after="0" w:line="240" w:lineRule="auto"/>
      </w:pPr>
      <w:r>
        <w:separator/>
      </w:r>
    </w:p>
  </w:footnote>
  <w:footnote w:type="continuationSeparator" w:id="0">
    <w:p w14:paraId="3847C414" w14:textId="77777777" w:rsidR="0054081C" w:rsidRDefault="0054081C">
      <w:pPr>
        <w:spacing w:after="0" w:line="240" w:lineRule="auto"/>
      </w:pPr>
      <w:r>
        <w:continuationSeparator/>
      </w:r>
    </w:p>
  </w:footnote>
  <w:footnote w:type="continuationNotice" w:id="1">
    <w:p w14:paraId="2FBFB162" w14:textId="77777777" w:rsidR="0054081C" w:rsidRDefault="00540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4BD882B" w:rsidR="001B2294" w:rsidRDefault="6361019D" w:rsidP="38D30253">
    <w:pPr>
      <w:pStyle w:val="TableRow"/>
      <w:rPr>
        <w:rFonts w:ascii="Century Gothic" w:eastAsia="Century Gothic" w:hAnsi="Century Gothic" w:cs="Century Gothic"/>
      </w:rPr>
    </w:pPr>
    <w:r>
      <w:rPr>
        <w:noProof/>
      </w:rPr>
      <w:drawing>
        <wp:inline distT="0" distB="0" distL="0" distR="0" wp14:anchorId="13BA54C4" wp14:editId="33FA23C3">
          <wp:extent cx="653102" cy="600075"/>
          <wp:effectExtent l="0" t="0" r="0" b="0"/>
          <wp:docPr id="1290218217" name="Picture 129021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wood Logo.png"/>
                  <pic:cNvPicPr/>
                </pic:nvPicPr>
                <pic:blipFill>
                  <a:blip r:embed="rId1">
                    <a:extLst>
                      <a:ext uri="{28A0092B-C50C-407E-A947-70E740481C1C}">
                        <a14:useLocalDpi xmlns:a14="http://schemas.microsoft.com/office/drawing/2010/main" val="0"/>
                      </a:ext>
                    </a:extLst>
                  </a:blip>
                  <a:stretch>
                    <a:fillRect/>
                  </a:stretch>
                </pic:blipFill>
                <pic:spPr>
                  <a:xfrm>
                    <a:off x="0" y="0"/>
                    <a:ext cx="670988" cy="61650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GeSL2YD" int2:invalidationBookmarkName="" int2:hashCode="MJpztJ9fUk9FF9" int2:id="SonJSplE">
      <int2:state int2:value="Rejected" int2:type="gram"/>
    </int2:bookmark>
    <int2:bookmark int2:bookmarkName="_Int_9H3FwLjx" int2:invalidationBookmarkName="" int2:hashCode="5NmnYnEbPG7rVG" int2:id="YrQSxyD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7EE2"/>
    <w:multiLevelType w:val="hybridMultilevel"/>
    <w:tmpl w:val="FFFFFFFF"/>
    <w:lvl w:ilvl="0" w:tplc="E6B44B2A">
      <w:start w:val="1"/>
      <w:numFmt w:val="bullet"/>
      <w:lvlText w:val=""/>
      <w:lvlJc w:val="left"/>
      <w:pPr>
        <w:ind w:left="720" w:hanging="360"/>
      </w:pPr>
      <w:rPr>
        <w:rFonts w:ascii="Symbol" w:hAnsi="Symbol" w:hint="default"/>
      </w:rPr>
    </w:lvl>
    <w:lvl w:ilvl="1" w:tplc="F348A892">
      <w:start w:val="1"/>
      <w:numFmt w:val="bullet"/>
      <w:lvlText w:val="o"/>
      <w:lvlJc w:val="left"/>
      <w:pPr>
        <w:ind w:left="1440" w:hanging="360"/>
      </w:pPr>
      <w:rPr>
        <w:rFonts w:ascii="Courier New" w:hAnsi="Courier New" w:hint="default"/>
      </w:rPr>
    </w:lvl>
    <w:lvl w:ilvl="2" w:tplc="632055A8">
      <w:start w:val="1"/>
      <w:numFmt w:val="bullet"/>
      <w:lvlText w:val=""/>
      <w:lvlJc w:val="left"/>
      <w:pPr>
        <w:ind w:left="2160" w:hanging="360"/>
      </w:pPr>
      <w:rPr>
        <w:rFonts w:ascii="Wingdings" w:hAnsi="Wingdings" w:hint="default"/>
      </w:rPr>
    </w:lvl>
    <w:lvl w:ilvl="3" w:tplc="8A068742">
      <w:start w:val="1"/>
      <w:numFmt w:val="bullet"/>
      <w:lvlText w:val=""/>
      <w:lvlJc w:val="left"/>
      <w:pPr>
        <w:ind w:left="2880" w:hanging="360"/>
      </w:pPr>
      <w:rPr>
        <w:rFonts w:ascii="Symbol" w:hAnsi="Symbol" w:hint="default"/>
      </w:rPr>
    </w:lvl>
    <w:lvl w:ilvl="4" w:tplc="6F44F6EA">
      <w:start w:val="1"/>
      <w:numFmt w:val="bullet"/>
      <w:lvlText w:val="o"/>
      <w:lvlJc w:val="left"/>
      <w:pPr>
        <w:ind w:left="3600" w:hanging="360"/>
      </w:pPr>
      <w:rPr>
        <w:rFonts w:ascii="Courier New" w:hAnsi="Courier New" w:hint="default"/>
      </w:rPr>
    </w:lvl>
    <w:lvl w:ilvl="5" w:tplc="267E39A4">
      <w:start w:val="1"/>
      <w:numFmt w:val="bullet"/>
      <w:lvlText w:val=""/>
      <w:lvlJc w:val="left"/>
      <w:pPr>
        <w:ind w:left="4320" w:hanging="360"/>
      </w:pPr>
      <w:rPr>
        <w:rFonts w:ascii="Wingdings" w:hAnsi="Wingdings" w:hint="default"/>
      </w:rPr>
    </w:lvl>
    <w:lvl w:ilvl="6" w:tplc="B9C65CF8">
      <w:start w:val="1"/>
      <w:numFmt w:val="bullet"/>
      <w:lvlText w:val=""/>
      <w:lvlJc w:val="left"/>
      <w:pPr>
        <w:ind w:left="5040" w:hanging="360"/>
      </w:pPr>
      <w:rPr>
        <w:rFonts w:ascii="Symbol" w:hAnsi="Symbol" w:hint="default"/>
      </w:rPr>
    </w:lvl>
    <w:lvl w:ilvl="7" w:tplc="17D6B9F2">
      <w:start w:val="1"/>
      <w:numFmt w:val="bullet"/>
      <w:lvlText w:val="o"/>
      <w:lvlJc w:val="left"/>
      <w:pPr>
        <w:ind w:left="5760" w:hanging="360"/>
      </w:pPr>
      <w:rPr>
        <w:rFonts w:ascii="Courier New" w:hAnsi="Courier New" w:hint="default"/>
      </w:rPr>
    </w:lvl>
    <w:lvl w:ilvl="8" w:tplc="05D28A48">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21DE3B6"/>
    <w:multiLevelType w:val="hybridMultilevel"/>
    <w:tmpl w:val="FFFFFFFF"/>
    <w:lvl w:ilvl="0" w:tplc="238E4158">
      <w:start w:val="1"/>
      <w:numFmt w:val="bullet"/>
      <w:lvlText w:val=""/>
      <w:lvlJc w:val="left"/>
      <w:pPr>
        <w:ind w:left="720" w:hanging="360"/>
      </w:pPr>
      <w:rPr>
        <w:rFonts w:ascii="Symbol" w:hAnsi="Symbol" w:hint="default"/>
      </w:rPr>
    </w:lvl>
    <w:lvl w:ilvl="1" w:tplc="5E2C46A2">
      <w:start w:val="1"/>
      <w:numFmt w:val="bullet"/>
      <w:lvlText w:val="o"/>
      <w:lvlJc w:val="left"/>
      <w:pPr>
        <w:ind w:left="1440" w:hanging="360"/>
      </w:pPr>
      <w:rPr>
        <w:rFonts w:ascii="Courier New" w:hAnsi="Courier New" w:hint="default"/>
      </w:rPr>
    </w:lvl>
    <w:lvl w:ilvl="2" w:tplc="1EB21236">
      <w:start w:val="1"/>
      <w:numFmt w:val="bullet"/>
      <w:lvlText w:val=""/>
      <w:lvlJc w:val="left"/>
      <w:pPr>
        <w:ind w:left="2160" w:hanging="360"/>
      </w:pPr>
      <w:rPr>
        <w:rFonts w:ascii="Wingdings" w:hAnsi="Wingdings" w:hint="default"/>
      </w:rPr>
    </w:lvl>
    <w:lvl w:ilvl="3" w:tplc="E6920A8A">
      <w:start w:val="1"/>
      <w:numFmt w:val="bullet"/>
      <w:lvlText w:val=""/>
      <w:lvlJc w:val="left"/>
      <w:pPr>
        <w:ind w:left="2880" w:hanging="360"/>
      </w:pPr>
      <w:rPr>
        <w:rFonts w:ascii="Symbol" w:hAnsi="Symbol" w:hint="default"/>
      </w:rPr>
    </w:lvl>
    <w:lvl w:ilvl="4" w:tplc="A9E2C55A">
      <w:start w:val="1"/>
      <w:numFmt w:val="bullet"/>
      <w:lvlText w:val="o"/>
      <w:lvlJc w:val="left"/>
      <w:pPr>
        <w:ind w:left="3600" w:hanging="360"/>
      </w:pPr>
      <w:rPr>
        <w:rFonts w:ascii="Courier New" w:hAnsi="Courier New" w:hint="default"/>
      </w:rPr>
    </w:lvl>
    <w:lvl w:ilvl="5" w:tplc="9E9076F6">
      <w:start w:val="1"/>
      <w:numFmt w:val="bullet"/>
      <w:lvlText w:val=""/>
      <w:lvlJc w:val="left"/>
      <w:pPr>
        <w:ind w:left="4320" w:hanging="360"/>
      </w:pPr>
      <w:rPr>
        <w:rFonts w:ascii="Wingdings" w:hAnsi="Wingdings" w:hint="default"/>
      </w:rPr>
    </w:lvl>
    <w:lvl w:ilvl="6" w:tplc="4AA071B2">
      <w:start w:val="1"/>
      <w:numFmt w:val="bullet"/>
      <w:lvlText w:val=""/>
      <w:lvlJc w:val="left"/>
      <w:pPr>
        <w:ind w:left="5040" w:hanging="360"/>
      </w:pPr>
      <w:rPr>
        <w:rFonts w:ascii="Symbol" w:hAnsi="Symbol" w:hint="default"/>
      </w:rPr>
    </w:lvl>
    <w:lvl w:ilvl="7" w:tplc="3552E80A">
      <w:start w:val="1"/>
      <w:numFmt w:val="bullet"/>
      <w:lvlText w:val="o"/>
      <w:lvlJc w:val="left"/>
      <w:pPr>
        <w:ind w:left="5760" w:hanging="360"/>
      </w:pPr>
      <w:rPr>
        <w:rFonts w:ascii="Courier New" w:hAnsi="Courier New" w:hint="default"/>
      </w:rPr>
    </w:lvl>
    <w:lvl w:ilvl="8" w:tplc="6CA6A170">
      <w:start w:val="1"/>
      <w:numFmt w:val="bullet"/>
      <w:lvlText w:val=""/>
      <w:lvlJc w:val="left"/>
      <w:pPr>
        <w:ind w:left="6480"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7A7A43E"/>
    <w:multiLevelType w:val="hybridMultilevel"/>
    <w:tmpl w:val="6A18BD18"/>
    <w:lvl w:ilvl="0" w:tplc="EEC6CA8C">
      <w:start w:val="1"/>
      <w:numFmt w:val="decimal"/>
      <w:lvlText w:val="%1."/>
      <w:lvlJc w:val="left"/>
      <w:pPr>
        <w:ind w:left="417" w:hanging="360"/>
      </w:pPr>
    </w:lvl>
    <w:lvl w:ilvl="1" w:tplc="F54E64F4">
      <w:start w:val="1"/>
      <w:numFmt w:val="lowerLetter"/>
      <w:lvlText w:val="%2."/>
      <w:lvlJc w:val="left"/>
      <w:pPr>
        <w:ind w:left="1137" w:hanging="360"/>
      </w:pPr>
    </w:lvl>
    <w:lvl w:ilvl="2" w:tplc="646858B2">
      <w:start w:val="1"/>
      <w:numFmt w:val="lowerRoman"/>
      <w:lvlText w:val="%3."/>
      <w:lvlJc w:val="right"/>
      <w:pPr>
        <w:ind w:left="1857" w:hanging="180"/>
      </w:pPr>
    </w:lvl>
    <w:lvl w:ilvl="3" w:tplc="FB5CA6B4">
      <w:start w:val="1"/>
      <w:numFmt w:val="decimal"/>
      <w:lvlText w:val="%4."/>
      <w:lvlJc w:val="left"/>
      <w:pPr>
        <w:ind w:left="2577" w:hanging="360"/>
      </w:pPr>
    </w:lvl>
    <w:lvl w:ilvl="4" w:tplc="E1BECBC2">
      <w:start w:val="1"/>
      <w:numFmt w:val="lowerLetter"/>
      <w:lvlText w:val="%5."/>
      <w:lvlJc w:val="left"/>
      <w:pPr>
        <w:ind w:left="3297" w:hanging="360"/>
      </w:pPr>
    </w:lvl>
    <w:lvl w:ilvl="5" w:tplc="79DA1088">
      <w:start w:val="1"/>
      <w:numFmt w:val="lowerRoman"/>
      <w:lvlText w:val="%6."/>
      <w:lvlJc w:val="right"/>
      <w:pPr>
        <w:ind w:left="4017" w:hanging="180"/>
      </w:pPr>
    </w:lvl>
    <w:lvl w:ilvl="6" w:tplc="9ADA2110">
      <w:start w:val="1"/>
      <w:numFmt w:val="decimal"/>
      <w:lvlText w:val="%7."/>
      <w:lvlJc w:val="left"/>
      <w:pPr>
        <w:ind w:left="4737" w:hanging="360"/>
      </w:pPr>
    </w:lvl>
    <w:lvl w:ilvl="7" w:tplc="DBD2AABC">
      <w:start w:val="1"/>
      <w:numFmt w:val="lowerLetter"/>
      <w:lvlText w:val="%8."/>
      <w:lvlJc w:val="left"/>
      <w:pPr>
        <w:ind w:left="5457" w:hanging="360"/>
      </w:pPr>
    </w:lvl>
    <w:lvl w:ilvl="8" w:tplc="5C56CE30">
      <w:start w:val="1"/>
      <w:numFmt w:val="lowerRoman"/>
      <w:lvlText w:val="%9."/>
      <w:lvlJc w:val="right"/>
      <w:pPr>
        <w:ind w:left="6177" w:hanging="180"/>
      </w:p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99D0B95"/>
    <w:multiLevelType w:val="hybridMultilevel"/>
    <w:tmpl w:val="51D0219A"/>
    <w:lvl w:ilvl="0" w:tplc="91C470C2">
      <w:start w:val="1"/>
      <w:numFmt w:val="decimal"/>
      <w:lvlText w:val="%1."/>
      <w:lvlJc w:val="left"/>
      <w:pPr>
        <w:ind w:left="417" w:hanging="360"/>
      </w:pPr>
    </w:lvl>
    <w:lvl w:ilvl="1" w:tplc="50B21828">
      <w:start w:val="1"/>
      <w:numFmt w:val="lowerLetter"/>
      <w:lvlText w:val="%2."/>
      <w:lvlJc w:val="left"/>
      <w:pPr>
        <w:ind w:left="1137" w:hanging="360"/>
      </w:pPr>
    </w:lvl>
    <w:lvl w:ilvl="2" w:tplc="3AECD4DE">
      <w:start w:val="1"/>
      <w:numFmt w:val="lowerRoman"/>
      <w:lvlText w:val="%3."/>
      <w:lvlJc w:val="right"/>
      <w:pPr>
        <w:ind w:left="1857" w:hanging="180"/>
      </w:pPr>
    </w:lvl>
    <w:lvl w:ilvl="3" w:tplc="C0667A2A">
      <w:start w:val="1"/>
      <w:numFmt w:val="decimal"/>
      <w:lvlText w:val="%4."/>
      <w:lvlJc w:val="left"/>
      <w:pPr>
        <w:ind w:left="2577" w:hanging="360"/>
      </w:pPr>
    </w:lvl>
    <w:lvl w:ilvl="4" w:tplc="1FD4570C">
      <w:start w:val="1"/>
      <w:numFmt w:val="lowerLetter"/>
      <w:lvlText w:val="%5."/>
      <w:lvlJc w:val="left"/>
      <w:pPr>
        <w:ind w:left="3297" w:hanging="360"/>
      </w:pPr>
    </w:lvl>
    <w:lvl w:ilvl="5" w:tplc="EAEC2350">
      <w:start w:val="1"/>
      <w:numFmt w:val="lowerRoman"/>
      <w:lvlText w:val="%6."/>
      <w:lvlJc w:val="right"/>
      <w:pPr>
        <w:ind w:left="4017" w:hanging="180"/>
      </w:pPr>
    </w:lvl>
    <w:lvl w:ilvl="6" w:tplc="32065EFE">
      <w:start w:val="1"/>
      <w:numFmt w:val="decimal"/>
      <w:lvlText w:val="%7."/>
      <w:lvlJc w:val="left"/>
      <w:pPr>
        <w:ind w:left="4737" w:hanging="360"/>
      </w:pPr>
    </w:lvl>
    <w:lvl w:ilvl="7" w:tplc="ADBC83D8">
      <w:start w:val="1"/>
      <w:numFmt w:val="lowerLetter"/>
      <w:lvlText w:val="%8."/>
      <w:lvlJc w:val="left"/>
      <w:pPr>
        <w:ind w:left="5457" w:hanging="360"/>
      </w:pPr>
    </w:lvl>
    <w:lvl w:ilvl="8" w:tplc="564027FA">
      <w:start w:val="1"/>
      <w:numFmt w:val="lowerRoman"/>
      <w:lvlText w:val="%9."/>
      <w:lvlJc w:val="right"/>
      <w:pPr>
        <w:ind w:left="6177" w:hanging="180"/>
      </w:pPr>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1461845">
    <w:abstractNumId w:val="0"/>
  </w:num>
  <w:num w:numId="2" w16cid:durableId="64963384">
    <w:abstractNumId w:val="4"/>
  </w:num>
  <w:num w:numId="3" w16cid:durableId="1810829005">
    <w:abstractNumId w:val="12"/>
  </w:num>
  <w:num w:numId="4" w16cid:durableId="696538240">
    <w:abstractNumId w:val="10"/>
  </w:num>
  <w:num w:numId="5" w16cid:durableId="675233376">
    <w:abstractNumId w:val="5"/>
  </w:num>
  <w:num w:numId="6" w16cid:durableId="1248418696">
    <w:abstractNumId w:val="2"/>
  </w:num>
  <w:num w:numId="7" w16cid:durableId="1874072790">
    <w:abstractNumId w:val="6"/>
  </w:num>
  <w:num w:numId="8" w16cid:durableId="1208446431">
    <w:abstractNumId w:val="7"/>
  </w:num>
  <w:num w:numId="9" w16cid:durableId="468329555">
    <w:abstractNumId w:val="1"/>
  </w:num>
  <w:num w:numId="10" w16cid:durableId="1738552808">
    <w:abstractNumId w:val="8"/>
  </w:num>
  <w:num w:numId="11" w16cid:durableId="1068721860">
    <w:abstractNumId w:val="11"/>
  </w:num>
  <w:num w:numId="12" w16cid:durableId="1885561403">
    <w:abstractNumId w:val="16"/>
  </w:num>
  <w:num w:numId="13" w16cid:durableId="644509445">
    <w:abstractNumId w:val="14"/>
  </w:num>
  <w:num w:numId="14" w16cid:durableId="977495669">
    <w:abstractNumId w:val="13"/>
  </w:num>
  <w:num w:numId="15" w16cid:durableId="1093162979">
    <w:abstractNumId w:val="3"/>
  </w:num>
  <w:num w:numId="16" w16cid:durableId="471825080">
    <w:abstractNumId w:val="15"/>
  </w:num>
  <w:num w:numId="17" w16cid:durableId="1432970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B3C"/>
    <w:rsid w:val="00003A45"/>
    <w:rsid w:val="00023729"/>
    <w:rsid w:val="000243B4"/>
    <w:rsid w:val="00030069"/>
    <w:rsid w:val="000452EB"/>
    <w:rsid w:val="000463AE"/>
    <w:rsid w:val="000507A3"/>
    <w:rsid w:val="00060A62"/>
    <w:rsid w:val="00064366"/>
    <w:rsid w:val="00066B73"/>
    <w:rsid w:val="00071481"/>
    <w:rsid w:val="00075FAE"/>
    <w:rsid w:val="00080D3B"/>
    <w:rsid w:val="00082F38"/>
    <w:rsid w:val="0008384B"/>
    <w:rsid w:val="00092055"/>
    <w:rsid w:val="000929EC"/>
    <w:rsid w:val="00093CDE"/>
    <w:rsid w:val="00095E24"/>
    <w:rsid w:val="000A6379"/>
    <w:rsid w:val="000D22B0"/>
    <w:rsid w:val="000D35C9"/>
    <w:rsid w:val="000D5147"/>
    <w:rsid w:val="000D520C"/>
    <w:rsid w:val="000D6596"/>
    <w:rsid w:val="000E4C50"/>
    <w:rsid w:val="000E6DF0"/>
    <w:rsid w:val="000F3A0A"/>
    <w:rsid w:val="001037CB"/>
    <w:rsid w:val="0010629E"/>
    <w:rsid w:val="00115538"/>
    <w:rsid w:val="00120AB1"/>
    <w:rsid w:val="00123A7F"/>
    <w:rsid w:val="001278D0"/>
    <w:rsid w:val="00127F72"/>
    <w:rsid w:val="00140646"/>
    <w:rsid w:val="00147A4B"/>
    <w:rsid w:val="001671ED"/>
    <w:rsid w:val="001727FA"/>
    <w:rsid w:val="00173D4C"/>
    <w:rsid w:val="00183218"/>
    <w:rsid w:val="00185917"/>
    <w:rsid w:val="00185988"/>
    <w:rsid w:val="001873B6"/>
    <w:rsid w:val="001901E6"/>
    <w:rsid w:val="00191305"/>
    <w:rsid w:val="00195B55"/>
    <w:rsid w:val="001A0D38"/>
    <w:rsid w:val="001A2FE8"/>
    <w:rsid w:val="001A33AC"/>
    <w:rsid w:val="001B2294"/>
    <w:rsid w:val="001C1C51"/>
    <w:rsid w:val="001D2661"/>
    <w:rsid w:val="001D2DF5"/>
    <w:rsid w:val="001D7DB0"/>
    <w:rsid w:val="001E0ECA"/>
    <w:rsid w:val="001E206F"/>
    <w:rsid w:val="001E5750"/>
    <w:rsid w:val="001E7739"/>
    <w:rsid w:val="001F3DB4"/>
    <w:rsid w:val="00203F4E"/>
    <w:rsid w:val="00204E8D"/>
    <w:rsid w:val="00204F40"/>
    <w:rsid w:val="00205DEF"/>
    <w:rsid w:val="00216C8A"/>
    <w:rsid w:val="00226317"/>
    <w:rsid w:val="00231539"/>
    <w:rsid w:val="002523E3"/>
    <w:rsid w:val="00252B55"/>
    <w:rsid w:val="00266FA5"/>
    <w:rsid w:val="00272A32"/>
    <w:rsid w:val="002748B7"/>
    <w:rsid w:val="002920F4"/>
    <w:rsid w:val="002940F3"/>
    <w:rsid w:val="00295842"/>
    <w:rsid w:val="0029E859"/>
    <w:rsid w:val="002A7FE8"/>
    <w:rsid w:val="002B3574"/>
    <w:rsid w:val="002B6B74"/>
    <w:rsid w:val="002C6AE7"/>
    <w:rsid w:val="002C7733"/>
    <w:rsid w:val="002D2D4B"/>
    <w:rsid w:val="002D3805"/>
    <w:rsid w:val="002E66AE"/>
    <w:rsid w:val="002E7763"/>
    <w:rsid w:val="002F5842"/>
    <w:rsid w:val="00306CB7"/>
    <w:rsid w:val="003111F5"/>
    <w:rsid w:val="00320F17"/>
    <w:rsid w:val="00336200"/>
    <w:rsid w:val="00337418"/>
    <w:rsid w:val="00342E43"/>
    <w:rsid w:val="00351D83"/>
    <w:rsid w:val="00353E46"/>
    <w:rsid w:val="003576C4"/>
    <w:rsid w:val="0035B74D"/>
    <w:rsid w:val="00366AB0"/>
    <w:rsid w:val="0037437C"/>
    <w:rsid w:val="00375A97"/>
    <w:rsid w:val="00380AB4"/>
    <w:rsid w:val="0038146B"/>
    <w:rsid w:val="0038340F"/>
    <w:rsid w:val="00384457"/>
    <w:rsid w:val="00384F24"/>
    <w:rsid w:val="0038728F"/>
    <w:rsid w:val="003A065D"/>
    <w:rsid w:val="003A26E0"/>
    <w:rsid w:val="003A32B2"/>
    <w:rsid w:val="003A47DD"/>
    <w:rsid w:val="003A634F"/>
    <w:rsid w:val="003B588A"/>
    <w:rsid w:val="003B621D"/>
    <w:rsid w:val="003C4388"/>
    <w:rsid w:val="003C4C27"/>
    <w:rsid w:val="003C7F7B"/>
    <w:rsid w:val="003D2EAA"/>
    <w:rsid w:val="003E054C"/>
    <w:rsid w:val="003E27A0"/>
    <w:rsid w:val="003E3872"/>
    <w:rsid w:val="003F51C5"/>
    <w:rsid w:val="003F6A64"/>
    <w:rsid w:val="00402B3F"/>
    <w:rsid w:val="004044AA"/>
    <w:rsid w:val="004044C8"/>
    <w:rsid w:val="00404F3F"/>
    <w:rsid w:val="00410B5D"/>
    <w:rsid w:val="00413BEC"/>
    <w:rsid w:val="00414FEF"/>
    <w:rsid w:val="0042265E"/>
    <w:rsid w:val="00424ED7"/>
    <w:rsid w:val="00425258"/>
    <w:rsid w:val="00426217"/>
    <w:rsid w:val="00431A80"/>
    <w:rsid w:val="00435A89"/>
    <w:rsid w:val="00442DE1"/>
    <w:rsid w:val="00452267"/>
    <w:rsid w:val="00453307"/>
    <w:rsid w:val="00455E48"/>
    <w:rsid w:val="00457E36"/>
    <w:rsid w:val="004607C1"/>
    <w:rsid w:val="00462F8F"/>
    <w:rsid w:val="00481D56"/>
    <w:rsid w:val="004825A4"/>
    <w:rsid w:val="00490408"/>
    <w:rsid w:val="004A3945"/>
    <w:rsid w:val="004A4C45"/>
    <w:rsid w:val="004A625B"/>
    <w:rsid w:val="004B0485"/>
    <w:rsid w:val="004B1377"/>
    <w:rsid w:val="004B428E"/>
    <w:rsid w:val="004B4D37"/>
    <w:rsid w:val="004C3310"/>
    <w:rsid w:val="004C42F0"/>
    <w:rsid w:val="004C6B71"/>
    <w:rsid w:val="004C7B5A"/>
    <w:rsid w:val="004E1D73"/>
    <w:rsid w:val="0051286E"/>
    <w:rsid w:val="00512EE1"/>
    <w:rsid w:val="00516021"/>
    <w:rsid w:val="00516457"/>
    <w:rsid w:val="00520A0C"/>
    <w:rsid w:val="00530E37"/>
    <w:rsid w:val="00531B0F"/>
    <w:rsid w:val="0054081C"/>
    <w:rsid w:val="005464A1"/>
    <w:rsid w:val="00546A02"/>
    <w:rsid w:val="00546F12"/>
    <w:rsid w:val="00550E73"/>
    <w:rsid w:val="00551488"/>
    <w:rsid w:val="0055339C"/>
    <w:rsid w:val="00561C96"/>
    <w:rsid w:val="00562B3C"/>
    <w:rsid w:val="00564E40"/>
    <w:rsid w:val="00565ED9"/>
    <w:rsid w:val="005750E2"/>
    <w:rsid w:val="0058313F"/>
    <w:rsid w:val="00583E2E"/>
    <w:rsid w:val="00585859"/>
    <w:rsid w:val="00586FBC"/>
    <w:rsid w:val="005879C9"/>
    <w:rsid w:val="005A272C"/>
    <w:rsid w:val="005A3C6B"/>
    <w:rsid w:val="005B1EA5"/>
    <w:rsid w:val="005B7402"/>
    <w:rsid w:val="005C5ABC"/>
    <w:rsid w:val="005D7176"/>
    <w:rsid w:val="005E1F24"/>
    <w:rsid w:val="005E4B48"/>
    <w:rsid w:val="005E73F1"/>
    <w:rsid w:val="005F07EF"/>
    <w:rsid w:val="00600B2E"/>
    <w:rsid w:val="00607CEB"/>
    <w:rsid w:val="00613299"/>
    <w:rsid w:val="0061762D"/>
    <w:rsid w:val="006211D8"/>
    <w:rsid w:val="00634238"/>
    <w:rsid w:val="00635FBC"/>
    <w:rsid w:val="00637728"/>
    <w:rsid w:val="0064113A"/>
    <w:rsid w:val="00641294"/>
    <w:rsid w:val="00644002"/>
    <w:rsid w:val="006455E6"/>
    <w:rsid w:val="006458B1"/>
    <w:rsid w:val="00650529"/>
    <w:rsid w:val="00650BAB"/>
    <w:rsid w:val="00651737"/>
    <w:rsid w:val="006671BF"/>
    <w:rsid w:val="00672A7D"/>
    <w:rsid w:val="00681416"/>
    <w:rsid w:val="006A06F5"/>
    <w:rsid w:val="006A0ED2"/>
    <w:rsid w:val="006A46F7"/>
    <w:rsid w:val="006B0A73"/>
    <w:rsid w:val="006B5A6B"/>
    <w:rsid w:val="006C0F82"/>
    <w:rsid w:val="006C332E"/>
    <w:rsid w:val="006C5901"/>
    <w:rsid w:val="006D6372"/>
    <w:rsid w:val="006D6E5C"/>
    <w:rsid w:val="006E02AF"/>
    <w:rsid w:val="006E0786"/>
    <w:rsid w:val="006E392F"/>
    <w:rsid w:val="006E6651"/>
    <w:rsid w:val="006E6B4A"/>
    <w:rsid w:val="006E7449"/>
    <w:rsid w:val="006E7FB1"/>
    <w:rsid w:val="006F14E9"/>
    <w:rsid w:val="006F2604"/>
    <w:rsid w:val="006F5319"/>
    <w:rsid w:val="006F55FD"/>
    <w:rsid w:val="006F5D21"/>
    <w:rsid w:val="00711BE3"/>
    <w:rsid w:val="00712D3C"/>
    <w:rsid w:val="00724FA7"/>
    <w:rsid w:val="00725415"/>
    <w:rsid w:val="00727505"/>
    <w:rsid w:val="00731581"/>
    <w:rsid w:val="00741B9E"/>
    <w:rsid w:val="00743DAC"/>
    <w:rsid w:val="0075337B"/>
    <w:rsid w:val="00755CD4"/>
    <w:rsid w:val="00757F96"/>
    <w:rsid w:val="00772B04"/>
    <w:rsid w:val="00785285"/>
    <w:rsid w:val="0078529D"/>
    <w:rsid w:val="00787DC1"/>
    <w:rsid w:val="00791DCA"/>
    <w:rsid w:val="00794070"/>
    <w:rsid w:val="007A505F"/>
    <w:rsid w:val="007A713B"/>
    <w:rsid w:val="007B64E5"/>
    <w:rsid w:val="007B7FA8"/>
    <w:rsid w:val="007C2F04"/>
    <w:rsid w:val="007D7579"/>
    <w:rsid w:val="007F5B8B"/>
    <w:rsid w:val="00817E9A"/>
    <w:rsid w:val="00830D57"/>
    <w:rsid w:val="00853B96"/>
    <w:rsid w:val="00860B07"/>
    <w:rsid w:val="008616F6"/>
    <w:rsid w:val="0086259C"/>
    <w:rsid w:val="00871041"/>
    <w:rsid w:val="00883F24"/>
    <w:rsid w:val="008843E0"/>
    <w:rsid w:val="0089516D"/>
    <w:rsid w:val="00897E1F"/>
    <w:rsid w:val="008A383B"/>
    <w:rsid w:val="008B2CB4"/>
    <w:rsid w:val="008B6404"/>
    <w:rsid w:val="008C2C21"/>
    <w:rsid w:val="008C7DD3"/>
    <w:rsid w:val="008D32B2"/>
    <w:rsid w:val="008D59FE"/>
    <w:rsid w:val="008E000B"/>
    <w:rsid w:val="008E232D"/>
    <w:rsid w:val="008E2926"/>
    <w:rsid w:val="008E35C6"/>
    <w:rsid w:val="008E3F49"/>
    <w:rsid w:val="008F1035"/>
    <w:rsid w:val="008F243B"/>
    <w:rsid w:val="008F4675"/>
    <w:rsid w:val="00904A66"/>
    <w:rsid w:val="0092287F"/>
    <w:rsid w:val="0092495B"/>
    <w:rsid w:val="0092660E"/>
    <w:rsid w:val="00930EE0"/>
    <w:rsid w:val="00936519"/>
    <w:rsid w:val="00941DA3"/>
    <w:rsid w:val="00942C0C"/>
    <w:rsid w:val="009539E3"/>
    <w:rsid w:val="00954A5E"/>
    <w:rsid w:val="009551B2"/>
    <w:rsid w:val="00955829"/>
    <w:rsid w:val="00964625"/>
    <w:rsid w:val="0097181A"/>
    <w:rsid w:val="00981C1D"/>
    <w:rsid w:val="009876BE"/>
    <w:rsid w:val="0099109C"/>
    <w:rsid w:val="009936DB"/>
    <w:rsid w:val="00993CFC"/>
    <w:rsid w:val="00996C33"/>
    <w:rsid w:val="009A1DC2"/>
    <w:rsid w:val="009B5DBF"/>
    <w:rsid w:val="009C0914"/>
    <w:rsid w:val="009C27E5"/>
    <w:rsid w:val="009C9345"/>
    <w:rsid w:val="009D71E8"/>
    <w:rsid w:val="009E104B"/>
    <w:rsid w:val="009E7DE4"/>
    <w:rsid w:val="009F3BBD"/>
    <w:rsid w:val="00A02A7B"/>
    <w:rsid w:val="00A04BCF"/>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C07E5"/>
    <w:rsid w:val="00AD7B5A"/>
    <w:rsid w:val="00AE229F"/>
    <w:rsid w:val="00AF31B2"/>
    <w:rsid w:val="00AF5E20"/>
    <w:rsid w:val="00B002FA"/>
    <w:rsid w:val="00B00327"/>
    <w:rsid w:val="00B024B3"/>
    <w:rsid w:val="00B11DE8"/>
    <w:rsid w:val="00B179ED"/>
    <w:rsid w:val="00B20E18"/>
    <w:rsid w:val="00B21825"/>
    <w:rsid w:val="00B24205"/>
    <w:rsid w:val="00B34F07"/>
    <w:rsid w:val="00B572C4"/>
    <w:rsid w:val="00B60858"/>
    <w:rsid w:val="00B639FC"/>
    <w:rsid w:val="00B65241"/>
    <w:rsid w:val="00B65B5F"/>
    <w:rsid w:val="00B71C37"/>
    <w:rsid w:val="00B74D4E"/>
    <w:rsid w:val="00B80219"/>
    <w:rsid w:val="00BA15AB"/>
    <w:rsid w:val="00BA19A5"/>
    <w:rsid w:val="00BB480E"/>
    <w:rsid w:val="00BC67F6"/>
    <w:rsid w:val="00BC7AE1"/>
    <w:rsid w:val="00BD2004"/>
    <w:rsid w:val="00BD4B12"/>
    <w:rsid w:val="00BE2577"/>
    <w:rsid w:val="00BE2F92"/>
    <w:rsid w:val="00BF0D5F"/>
    <w:rsid w:val="00C1021A"/>
    <w:rsid w:val="00C11EB4"/>
    <w:rsid w:val="00C12746"/>
    <w:rsid w:val="00C235D3"/>
    <w:rsid w:val="00C24E22"/>
    <w:rsid w:val="00C25827"/>
    <w:rsid w:val="00C31BB8"/>
    <w:rsid w:val="00C373EA"/>
    <w:rsid w:val="00C52E40"/>
    <w:rsid w:val="00C54AE5"/>
    <w:rsid w:val="00C55C01"/>
    <w:rsid w:val="00C57BD3"/>
    <w:rsid w:val="00C621C1"/>
    <w:rsid w:val="00C62989"/>
    <w:rsid w:val="00C65CBB"/>
    <w:rsid w:val="00C666A5"/>
    <w:rsid w:val="00C712AD"/>
    <w:rsid w:val="00C80F37"/>
    <w:rsid w:val="00C82654"/>
    <w:rsid w:val="00C83A8C"/>
    <w:rsid w:val="00C97A7F"/>
    <w:rsid w:val="00CA6CC1"/>
    <w:rsid w:val="00CB5B17"/>
    <w:rsid w:val="00CC0D79"/>
    <w:rsid w:val="00CC4443"/>
    <w:rsid w:val="00CC5CAF"/>
    <w:rsid w:val="00CE46D7"/>
    <w:rsid w:val="00D06874"/>
    <w:rsid w:val="00D173F7"/>
    <w:rsid w:val="00D20203"/>
    <w:rsid w:val="00D204E0"/>
    <w:rsid w:val="00D21037"/>
    <w:rsid w:val="00D21354"/>
    <w:rsid w:val="00D22400"/>
    <w:rsid w:val="00D278BA"/>
    <w:rsid w:val="00D33FE5"/>
    <w:rsid w:val="00D3578A"/>
    <w:rsid w:val="00D4463C"/>
    <w:rsid w:val="00D4618E"/>
    <w:rsid w:val="00D501EE"/>
    <w:rsid w:val="00D517DC"/>
    <w:rsid w:val="00D5590D"/>
    <w:rsid w:val="00D618E4"/>
    <w:rsid w:val="00D61DA5"/>
    <w:rsid w:val="00D75F41"/>
    <w:rsid w:val="00D875ED"/>
    <w:rsid w:val="00D877D0"/>
    <w:rsid w:val="00D90013"/>
    <w:rsid w:val="00D91B9C"/>
    <w:rsid w:val="00D92C1B"/>
    <w:rsid w:val="00D94CC7"/>
    <w:rsid w:val="00DA1AF4"/>
    <w:rsid w:val="00DA69F3"/>
    <w:rsid w:val="00DB0C60"/>
    <w:rsid w:val="00DB61D4"/>
    <w:rsid w:val="00DC641A"/>
    <w:rsid w:val="00DD23FE"/>
    <w:rsid w:val="00DD6B7D"/>
    <w:rsid w:val="00DD6E14"/>
    <w:rsid w:val="00DE15AC"/>
    <w:rsid w:val="00DF49DF"/>
    <w:rsid w:val="00E061EC"/>
    <w:rsid w:val="00E13E51"/>
    <w:rsid w:val="00E41BE0"/>
    <w:rsid w:val="00E43EAD"/>
    <w:rsid w:val="00E62DCB"/>
    <w:rsid w:val="00E63B92"/>
    <w:rsid w:val="00E651DD"/>
    <w:rsid w:val="00E66558"/>
    <w:rsid w:val="00E70D81"/>
    <w:rsid w:val="00E726A6"/>
    <w:rsid w:val="00E775A3"/>
    <w:rsid w:val="00E80691"/>
    <w:rsid w:val="00E86F05"/>
    <w:rsid w:val="00E90DA0"/>
    <w:rsid w:val="00EA3A2A"/>
    <w:rsid w:val="00EB4556"/>
    <w:rsid w:val="00EB64C8"/>
    <w:rsid w:val="00ED2993"/>
    <w:rsid w:val="00ED5108"/>
    <w:rsid w:val="00F012CA"/>
    <w:rsid w:val="00F01752"/>
    <w:rsid w:val="00F0355A"/>
    <w:rsid w:val="00F24A7E"/>
    <w:rsid w:val="00F33DC0"/>
    <w:rsid w:val="00F444D6"/>
    <w:rsid w:val="00F50A20"/>
    <w:rsid w:val="00F50F85"/>
    <w:rsid w:val="00F62587"/>
    <w:rsid w:val="00F63E9E"/>
    <w:rsid w:val="00F712B0"/>
    <w:rsid w:val="00F76843"/>
    <w:rsid w:val="00F776E1"/>
    <w:rsid w:val="00F925EB"/>
    <w:rsid w:val="00F934F4"/>
    <w:rsid w:val="00FA1FBC"/>
    <w:rsid w:val="00FA6DD0"/>
    <w:rsid w:val="00FB3014"/>
    <w:rsid w:val="00FC28DF"/>
    <w:rsid w:val="00FE3136"/>
    <w:rsid w:val="00FE50A3"/>
    <w:rsid w:val="00FF369D"/>
    <w:rsid w:val="00FF6FB0"/>
    <w:rsid w:val="0101A6B0"/>
    <w:rsid w:val="0117F6B7"/>
    <w:rsid w:val="0146F1C1"/>
    <w:rsid w:val="021E3154"/>
    <w:rsid w:val="0253F7BD"/>
    <w:rsid w:val="02A83C49"/>
    <w:rsid w:val="03428255"/>
    <w:rsid w:val="03630922"/>
    <w:rsid w:val="0386ADB9"/>
    <w:rsid w:val="03D8CE4F"/>
    <w:rsid w:val="03E87116"/>
    <w:rsid w:val="03FCBC04"/>
    <w:rsid w:val="041D0500"/>
    <w:rsid w:val="04200B26"/>
    <w:rsid w:val="04202C6D"/>
    <w:rsid w:val="042998AA"/>
    <w:rsid w:val="0455B4C0"/>
    <w:rsid w:val="04D4C9E2"/>
    <w:rsid w:val="04EF1867"/>
    <w:rsid w:val="050980C5"/>
    <w:rsid w:val="05455856"/>
    <w:rsid w:val="055D29E1"/>
    <w:rsid w:val="0567ADFD"/>
    <w:rsid w:val="05858C7C"/>
    <w:rsid w:val="058EA890"/>
    <w:rsid w:val="05B6D577"/>
    <w:rsid w:val="062C60E6"/>
    <w:rsid w:val="06387ECE"/>
    <w:rsid w:val="06415819"/>
    <w:rsid w:val="064A557C"/>
    <w:rsid w:val="065ECF2C"/>
    <w:rsid w:val="06612CFF"/>
    <w:rsid w:val="06702342"/>
    <w:rsid w:val="06782C5F"/>
    <w:rsid w:val="06944C6B"/>
    <w:rsid w:val="06945487"/>
    <w:rsid w:val="069529AA"/>
    <w:rsid w:val="069AA0E3"/>
    <w:rsid w:val="06EE3487"/>
    <w:rsid w:val="06F1FE95"/>
    <w:rsid w:val="07067C31"/>
    <w:rsid w:val="074644FA"/>
    <w:rsid w:val="074998BF"/>
    <w:rsid w:val="076181CF"/>
    <w:rsid w:val="0776A2CC"/>
    <w:rsid w:val="078ABC30"/>
    <w:rsid w:val="07BFC877"/>
    <w:rsid w:val="07FFD3D3"/>
    <w:rsid w:val="080A988E"/>
    <w:rsid w:val="081E4B7C"/>
    <w:rsid w:val="08371A30"/>
    <w:rsid w:val="0850603A"/>
    <w:rsid w:val="0858B949"/>
    <w:rsid w:val="0862834D"/>
    <w:rsid w:val="0889B3FA"/>
    <w:rsid w:val="089A9940"/>
    <w:rsid w:val="09472F74"/>
    <w:rsid w:val="0950C825"/>
    <w:rsid w:val="09AD9503"/>
    <w:rsid w:val="0A5B54F4"/>
    <w:rsid w:val="0A6F0BB0"/>
    <w:rsid w:val="0A99D21E"/>
    <w:rsid w:val="0ACB9005"/>
    <w:rsid w:val="0AE36C04"/>
    <w:rsid w:val="0AE80328"/>
    <w:rsid w:val="0AFE7ACC"/>
    <w:rsid w:val="0B240EAF"/>
    <w:rsid w:val="0B2A39DE"/>
    <w:rsid w:val="0B6D37D0"/>
    <w:rsid w:val="0BA42472"/>
    <w:rsid w:val="0BA4884B"/>
    <w:rsid w:val="0C05ADF7"/>
    <w:rsid w:val="0C5FC114"/>
    <w:rsid w:val="0C7542DA"/>
    <w:rsid w:val="0CB81FDC"/>
    <w:rsid w:val="0CCB196C"/>
    <w:rsid w:val="0CD6163E"/>
    <w:rsid w:val="0DC5E123"/>
    <w:rsid w:val="0E4961BC"/>
    <w:rsid w:val="0E5F6C65"/>
    <w:rsid w:val="0E8AE714"/>
    <w:rsid w:val="0F095267"/>
    <w:rsid w:val="0F110D77"/>
    <w:rsid w:val="0F64F1AC"/>
    <w:rsid w:val="0F77BEB1"/>
    <w:rsid w:val="0F9F34D2"/>
    <w:rsid w:val="0FA351A9"/>
    <w:rsid w:val="0FB55D84"/>
    <w:rsid w:val="0FBDD33E"/>
    <w:rsid w:val="0FCB9DB9"/>
    <w:rsid w:val="0FE47943"/>
    <w:rsid w:val="0FE84ACF"/>
    <w:rsid w:val="1001E670"/>
    <w:rsid w:val="100CE7A7"/>
    <w:rsid w:val="1014E79F"/>
    <w:rsid w:val="102014E0"/>
    <w:rsid w:val="1025610D"/>
    <w:rsid w:val="109D2EA7"/>
    <w:rsid w:val="10D03ED8"/>
    <w:rsid w:val="10EA13DE"/>
    <w:rsid w:val="116FBF06"/>
    <w:rsid w:val="11B650D2"/>
    <w:rsid w:val="11C0D4BB"/>
    <w:rsid w:val="11D383F4"/>
    <w:rsid w:val="11D39A16"/>
    <w:rsid w:val="12725247"/>
    <w:rsid w:val="12C968B5"/>
    <w:rsid w:val="12F0D266"/>
    <w:rsid w:val="13173609"/>
    <w:rsid w:val="133BA488"/>
    <w:rsid w:val="134A3C1C"/>
    <w:rsid w:val="1354A23B"/>
    <w:rsid w:val="136E205E"/>
    <w:rsid w:val="137C5EB2"/>
    <w:rsid w:val="13A9A407"/>
    <w:rsid w:val="13A9BFAB"/>
    <w:rsid w:val="13B9864D"/>
    <w:rsid w:val="13CEE608"/>
    <w:rsid w:val="13D4258F"/>
    <w:rsid w:val="13DD9354"/>
    <w:rsid w:val="13F54BF5"/>
    <w:rsid w:val="1404A4E7"/>
    <w:rsid w:val="14158097"/>
    <w:rsid w:val="1421AE7A"/>
    <w:rsid w:val="1466C3E5"/>
    <w:rsid w:val="146B1D81"/>
    <w:rsid w:val="147824BF"/>
    <w:rsid w:val="1499A323"/>
    <w:rsid w:val="14A712FE"/>
    <w:rsid w:val="153274CF"/>
    <w:rsid w:val="15A2577E"/>
    <w:rsid w:val="15F629A5"/>
    <w:rsid w:val="163EA483"/>
    <w:rsid w:val="165FF791"/>
    <w:rsid w:val="166FD2C4"/>
    <w:rsid w:val="1675D521"/>
    <w:rsid w:val="168F5A73"/>
    <w:rsid w:val="16AFBA13"/>
    <w:rsid w:val="16D8D91A"/>
    <w:rsid w:val="16DD968C"/>
    <w:rsid w:val="170608DF"/>
    <w:rsid w:val="17228091"/>
    <w:rsid w:val="17244697"/>
    <w:rsid w:val="17283314"/>
    <w:rsid w:val="176275BA"/>
    <w:rsid w:val="17FFE4D7"/>
    <w:rsid w:val="18D88CF4"/>
    <w:rsid w:val="1925A238"/>
    <w:rsid w:val="1945802A"/>
    <w:rsid w:val="19B7570A"/>
    <w:rsid w:val="1A172959"/>
    <w:rsid w:val="1A1FA934"/>
    <w:rsid w:val="1A256062"/>
    <w:rsid w:val="1A6DD035"/>
    <w:rsid w:val="1A6FA488"/>
    <w:rsid w:val="1A9386FC"/>
    <w:rsid w:val="1A977E28"/>
    <w:rsid w:val="1ACB1F0F"/>
    <w:rsid w:val="1AE72F47"/>
    <w:rsid w:val="1B0380A9"/>
    <w:rsid w:val="1B1BAE68"/>
    <w:rsid w:val="1B8CD879"/>
    <w:rsid w:val="1BA42BBC"/>
    <w:rsid w:val="1BB4B396"/>
    <w:rsid w:val="1BBD0C49"/>
    <w:rsid w:val="1BDDEA2A"/>
    <w:rsid w:val="1BE8743D"/>
    <w:rsid w:val="1C4879B5"/>
    <w:rsid w:val="1C595392"/>
    <w:rsid w:val="1C69C181"/>
    <w:rsid w:val="1CBF4D92"/>
    <w:rsid w:val="1CD8E600"/>
    <w:rsid w:val="1CF95D91"/>
    <w:rsid w:val="1D041A7C"/>
    <w:rsid w:val="1D11CC4E"/>
    <w:rsid w:val="1D85D5EC"/>
    <w:rsid w:val="1D998DF6"/>
    <w:rsid w:val="1DC884A8"/>
    <w:rsid w:val="1DD77656"/>
    <w:rsid w:val="1DE0206F"/>
    <w:rsid w:val="1E11B4B2"/>
    <w:rsid w:val="1E28145F"/>
    <w:rsid w:val="1E605527"/>
    <w:rsid w:val="1E667409"/>
    <w:rsid w:val="1E6C66BE"/>
    <w:rsid w:val="1E87F54E"/>
    <w:rsid w:val="1EC620F2"/>
    <w:rsid w:val="1F31C620"/>
    <w:rsid w:val="1F354B1A"/>
    <w:rsid w:val="1F48311B"/>
    <w:rsid w:val="1F91B37C"/>
    <w:rsid w:val="1F995A06"/>
    <w:rsid w:val="1FAB189A"/>
    <w:rsid w:val="1FFB29E0"/>
    <w:rsid w:val="200CB419"/>
    <w:rsid w:val="202AA88D"/>
    <w:rsid w:val="20477985"/>
    <w:rsid w:val="206A0F44"/>
    <w:rsid w:val="20856A45"/>
    <w:rsid w:val="20857F78"/>
    <w:rsid w:val="2086D26F"/>
    <w:rsid w:val="20990497"/>
    <w:rsid w:val="2115AFE9"/>
    <w:rsid w:val="21298C28"/>
    <w:rsid w:val="212D1E25"/>
    <w:rsid w:val="214EBBB7"/>
    <w:rsid w:val="215666AE"/>
    <w:rsid w:val="21B36994"/>
    <w:rsid w:val="21D452BB"/>
    <w:rsid w:val="21DF2271"/>
    <w:rsid w:val="23112033"/>
    <w:rsid w:val="2314CBB8"/>
    <w:rsid w:val="2339CFED"/>
    <w:rsid w:val="23581650"/>
    <w:rsid w:val="235E9D9B"/>
    <w:rsid w:val="23868084"/>
    <w:rsid w:val="23923D65"/>
    <w:rsid w:val="2393B0D1"/>
    <w:rsid w:val="23C70F2D"/>
    <w:rsid w:val="23DA66E6"/>
    <w:rsid w:val="23EFC87D"/>
    <w:rsid w:val="240990E1"/>
    <w:rsid w:val="243054E5"/>
    <w:rsid w:val="2489B13F"/>
    <w:rsid w:val="2497129E"/>
    <w:rsid w:val="24CE8C38"/>
    <w:rsid w:val="24D139EB"/>
    <w:rsid w:val="24E4755A"/>
    <w:rsid w:val="25AA42F2"/>
    <w:rsid w:val="25DC0D73"/>
    <w:rsid w:val="263C3B88"/>
    <w:rsid w:val="263F9A21"/>
    <w:rsid w:val="26688B07"/>
    <w:rsid w:val="267C199B"/>
    <w:rsid w:val="26D89D9B"/>
    <w:rsid w:val="26ED0B3A"/>
    <w:rsid w:val="26F97C94"/>
    <w:rsid w:val="26FBAFBC"/>
    <w:rsid w:val="26FE333C"/>
    <w:rsid w:val="2715F044"/>
    <w:rsid w:val="2761227D"/>
    <w:rsid w:val="278B04AD"/>
    <w:rsid w:val="279E103A"/>
    <w:rsid w:val="27D5013D"/>
    <w:rsid w:val="2806A6D9"/>
    <w:rsid w:val="282E8D0E"/>
    <w:rsid w:val="282F5DBA"/>
    <w:rsid w:val="2860AB8E"/>
    <w:rsid w:val="289D4024"/>
    <w:rsid w:val="28EA62F5"/>
    <w:rsid w:val="29A099D5"/>
    <w:rsid w:val="29F3D4BB"/>
    <w:rsid w:val="29FF4106"/>
    <w:rsid w:val="2A06D65F"/>
    <w:rsid w:val="2A8BB002"/>
    <w:rsid w:val="2B10DD59"/>
    <w:rsid w:val="2B12979E"/>
    <w:rsid w:val="2B28F755"/>
    <w:rsid w:val="2B6D2F64"/>
    <w:rsid w:val="2B8CAA20"/>
    <w:rsid w:val="2B976A3F"/>
    <w:rsid w:val="2BDB95C2"/>
    <w:rsid w:val="2BDE4EBA"/>
    <w:rsid w:val="2C010FC8"/>
    <w:rsid w:val="2C0CAD6B"/>
    <w:rsid w:val="2C39C198"/>
    <w:rsid w:val="2C8337A7"/>
    <w:rsid w:val="2CBB97B3"/>
    <w:rsid w:val="2D20CFCD"/>
    <w:rsid w:val="2D221C1A"/>
    <w:rsid w:val="2D4A6296"/>
    <w:rsid w:val="2DC1F056"/>
    <w:rsid w:val="2DE6D7A1"/>
    <w:rsid w:val="2E3F617E"/>
    <w:rsid w:val="2E44C6CA"/>
    <w:rsid w:val="2E9B0E90"/>
    <w:rsid w:val="2EA8C6CC"/>
    <w:rsid w:val="2F5D0591"/>
    <w:rsid w:val="2F720351"/>
    <w:rsid w:val="2F964CA2"/>
    <w:rsid w:val="2FA740B9"/>
    <w:rsid w:val="2FAC8BC9"/>
    <w:rsid w:val="2FE918CA"/>
    <w:rsid w:val="2FEDBA12"/>
    <w:rsid w:val="2FF3BA9F"/>
    <w:rsid w:val="2FFB967E"/>
    <w:rsid w:val="303A3A97"/>
    <w:rsid w:val="305D2817"/>
    <w:rsid w:val="306F8DD6"/>
    <w:rsid w:val="311FEA3B"/>
    <w:rsid w:val="312FF07A"/>
    <w:rsid w:val="3135E01B"/>
    <w:rsid w:val="31668DB2"/>
    <w:rsid w:val="3189CD69"/>
    <w:rsid w:val="31C12D13"/>
    <w:rsid w:val="31CB8726"/>
    <w:rsid w:val="31CC4DD9"/>
    <w:rsid w:val="31E1415F"/>
    <w:rsid w:val="31E6C13F"/>
    <w:rsid w:val="3207C2D0"/>
    <w:rsid w:val="32309D90"/>
    <w:rsid w:val="324E158A"/>
    <w:rsid w:val="326A7E22"/>
    <w:rsid w:val="328B3060"/>
    <w:rsid w:val="32B04259"/>
    <w:rsid w:val="335013F1"/>
    <w:rsid w:val="337B567A"/>
    <w:rsid w:val="3387F26D"/>
    <w:rsid w:val="34750609"/>
    <w:rsid w:val="3493C7BF"/>
    <w:rsid w:val="34CA8056"/>
    <w:rsid w:val="34CB70BD"/>
    <w:rsid w:val="34CD931C"/>
    <w:rsid w:val="34F29388"/>
    <w:rsid w:val="350700DB"/>
    <w:rsid w:val="3520704E"/>
    <w:rsid w:val="35456D59"/>
    <w:rsid w:val="3563B8F7"/>
    <w:rsid w:val="356A6B83"/>
    <w:rsid w:val="35BB899F"/>
    <w:rsid w:val="35D57FDA"/>
    <w:rsid w:val="35E4AB22"/>
    <w:rsid w:val="35F8A755"/>
    <w:rsid w:val="36024FE7"/>
    <w:rsid w:val="36164F8B"/>
    <w:rsid w:val="364CCE88"/>
    <w:rsid w:val="3655057F"/>
    <w:rsid w:val="3655BE20"/>
    <w:rsid w:val="3658AAC2"/>
    <w:rsid w:val="3664C511"/>
    <w:rsid w:val="3681E65A"/>
    <w:rsid w:val="369E5477"/>
    <w:rsid w:val="373548CF"/>
    <w:rsid w:val="374A9921"/>
    <w:rsid w:val="376A56F3"/>
    <w:rsid w:val="377222F7"/>
    <w:rsid w:val="37DC9E06"/>
    <w:rsid w:val="38088C0E"/>
    <w:rsid w:val="380BAE89"/>
    <w:rsid w:val="38A28033"/>
    <w:rsid w:val="38A37154"/>
    <w:rsid w:val="38D30253"/>
    <w:rsid w:val="38E81D91"/>
    <w:rsid w:val="3927E871"/>
    <w:rsid w:val="39310799"/>
    <w:rsid w:val="39343B4F"/>
    <w:rsid w:val="398DD7DF"/>
    <w:rsid w:val="399F6D05"/>
    <w:rsid w:val="3A15CA1C"/>
    <w:rsid w:val="3A3F1ACF"/>
    <w:rsid w:val="3A528285"/>
    <w:rsid w:val="3A52F39D"/>
    <w:rsid w:val="3A5B9201"/>
    <w:rsid w:val="3A74F354"/>
    <w:rsid w:val="3AAAEEFC"/>
    <w:rsid w:val="3AB149A5"/>
    <w:rsid w:val="3AF590B3"/>
    <w:rsid w:val="3B6BCFC5"/>
    <w:rsid w:val="3BB602DF"/>
    <w:rsid w:val="3BD0B04D"/>
    <w:rsid w:val="3BE13FA2"/>
    <w:rsid w:val="3C390533"/>
    <w:rsid w:val="3C7446CB"/>
    <w:rsid w:val="3CA52469"/>
    <w:rsid w:val="3CB4CDD6"/>
    <w:rsid w:val="3CB4E1A0"/>
    <w:rsid w:val="3CFBD808"/>
    <w:rsid w:val="3D06EAC6"/>
    <w:rsid w:val="3D07DA9B"/>
    <w:rsid w:val="3D56BA92"/>
    <w:rsid w:val="3D7DA7FD"/>
    <w:rsid w:val="3D82DB86"/>
    <w:rsid w:val="3D90ED24"/>
    <w:rsid w:val="3D997E15"/>
    <w:rsid w:val="3DB431AC"/>
    <w:rsid w:val="3E37EAA2"/>
    <w:rsid w:val="3E71551A"/>
    <w:rsid w:val="3E843065"/>
    <w:rsid w:val="3EA4202B"/>
    <w:rsid w:val="3EBC518F"/>
    <w:rsid w:val="3ECE220B"/>
    <w:rsid w:val="3EE3C553"/>
    <w:rsid w:val="3EEE7FBB"/>
    <w:rsid w:val="3F0EC488"/>
    <w:rsid w:val="3F1A24DA"/>
    <w:rsid w:val="3F1AA796"/>
    <w:rsid w:val="3F21D720"/>
    <w:rsid w:val="3F340960"/>
    <w:rsid w:val="3F37167A"/>
    <w:rsid w:val="3FD19E02"/>
    <w:rsid w:val="400F9EB4"/>
    <w:rsid w:val="40206D2A"/>
    <w:rsid w:val="40723441"/>
    <w:rsid w:val="408148C8"/>
    <w:rsid w:val="40B2143A"/>
    <w:rsid w:val="40B9AD23"/>
    <w:rsid w:val="41333E0E"/>
    <w:rsid w:val="418407A1"/>
    <w:rsid w:val="41A27A9C"/>
    <w:rsid w:val="41C4C58B"/>
    <w:rsid w:val="41CB15D5"/>
    <w:rsid w:val="41D6E7D8"/>
    <w:rsid w:val="41F1B6ED"/>
    <w:rsid w:val="41FCC52E"/>
    <w:rsid w:val="421A5D9F"/>
    <w:rsid w:val="4234C886"/>
    <w:rsid w:val="4258BC83"/>
    <w:rsid w:val="4290ABE0"/>
    <w:rsid w:val="42B1FCC4"/>
    <w:rsid w:val="42BDDBF2"/>
    <w:rsid w:val="42FE7402"/>
    <w:rsid w:val="430F529E"/>
    <w:rsid w:val="4331505A"/>
    <w:rsid w:val="433DA3A3"/>
    <w:rsid w:val="43C5C6E3"/>
    <w:rsid w:val="43D25A0D"/>
    <w:rsid w:val="43F0618A"/>
    <w:rsid w:val="43F6046C"/>
    <w:rsid w:val="44AA9024"/>
    <w:rsid w:val="44DF39C2"/>
    <w:rsid w:val="44F45DCB"/>
    <w:rsid w:val="44F58C53"/>
    <w:rsid w:val="45204CBF"/>
    <w:rsid w:val="452AAF26"/>
    <w:rsid w:val="4536BD6D"/>
    <w:rsid w:val="45B314EF"/>
    <w:rsid w:val="45C08D69"/>
    <w:rsid w:val="460BBDE3"/>
    <w:rsid w:val="46F82A55"/>
    <w:rsid w:val="472AAA99"/>
    <w:rsid w:val="4762AF15"/>
    <w:rsid w:val="4779E865"/>
    <w:rsid w:val="47919604"/>
    <w:rsid w:val="47AABA66"/>
    <w:rsid w:val="47BF30B4"/>
    <w:rsid w:val="47FD287B"/>
    <w:rsid w:val="48240A17"/>
    <w:rsid w:val="483BBF2B"/>
    <w:rsid w:val="48716604"/>
    <w:rsid w:val="488ACEBF"/>
    <w:rsid w:val="48B6DEBE"/>
    <w:rsid w:val="48B8E20D"/>
    <w:rsid w:val="48FBDE10"/>
    <w:rsid w:val="491E3A64"/>
    <w:rsid w:val="492830C6"/>
    <w:rsid w:val="495FBED8"/>
    <w:rsid w:val="497EB584"/>
    <w:rsid w:val="498427E1"/>
    <w:rsid w:val="4990080F"/>
    <w:rsid w:val="49904D02"/>
    <w:rsid w:val="499FA2C4"/>
    <w:rsid w:val="49E70757"/>
    <w:rsid w:val="4A3585BB"/>
    <w:rsid w:val="4A415B82"/>
    <w:rsid w:val="4A4284B1"/>
    <w:rsid w:val="4A55FD3C"/>
    <w:rsid w:val="4A7F3AE0"/>
    <w:rsid w:val="4A9EEFDC"/>
    <w:rsid w:val="4A9FE723"/>
    <w:rsid w:val="4AFEBC23"/>
    <w:rsid w:val="4B0077D3"/>
    <w:rsid w:val="4B0CC673"/>
    <w:rsid w:val="4BDB86FF"/>
    <w:rsid w:val="4BF69EA0"/>
    <w:rsid w:val="4C060143"/>
    <w:rsid w:val="4C413B6F"/>
    <w:rsid w:val="4C6AFF30"/>
    <w:rsid w:val="4CBA58D6"/>
    <w:rsid w:val="4CE5BD5F"/>
    <w:rsid w:val="4CF1C2F3"/>
    <w:rsid w:val="4CFDAB60"/>
    <w:rsid w:val="4D09DCF1"/>
    <w:rsid w:val="4D1F4278"/>
    <w:rsid w:val="4DCF6BC4"/>
    <w:rsid w:val="4DEBF123"/>
    <w:rsid w:val="4E15CD3A"/>
    <w:rsid w:val="4E358B81"/>
    <w:rsid w:val="4E8BAE52"/>
    <w:rsid w:val="4E9E0EDB"/>
    <w:rsid w:val="4F0C994A"/>
    <w:rsid w:val="4F193547"/>
    <w:rsid w:val="4F1D078B"/>
    <w:rsid w:val="4F231835"/>
    <w:rsid w:val="4F444255"/>
    <w:rsid w:val="4F47708F"/>
    <w:rsid w:val="4F4F54E7"/>
    <w:rsid w:val="4F5E0E5F"/>
    <w:rsid w:val="4F945588"/>
    <w:rsid w:val="4FAAFF3A"/>
    <w:rsid w:val="4FC3A79D"/>
    <w:rsid w:val="4FEAF372"/>
    <w:rsid w:val="50233B86"/>
    <w:rsid w:val="50668EF0"/>
    <w:rsid w:val="506C531A"/>
    <w:rsid w:val="50706DD1"/>
    <w:rsid w:val="50825D33"/>
    <w:rsid w:val="50ACF252"/>
    <w:rsid w:val="50B61644"/>
    <w:rsid w:val="50CAF905"/>
    <w:rsid w:val="50D510E5"/>
    <w:rsid w:val="50D80908"/>
    <w:rsid w:val="50DD9C6D"/>
    <w:rsid w:val="51AFA87D"/>
    <w:rsid w:val="520F4BA4"/>
    <w:rsid w:val="521F2AFD"/>
    <w:rsid w:val="522DA2F5"/>
    <w:rsid w:val="5284ED97"/>
    <w:rsid w:val="528A1C37"/>
    <w:rsid w:val="52FFEABA"/>
    <w:rsid w:val="535D5F44"/>
    <w:rsid w:val="535D7594"/>
    <w:rsid w:val="537A3B9A"/>
    <w:rsid w:val="53F0261A"/>
    <w:rsid w:val="540D845D"/>
    <w:rsid w:val="547CA28E"/>
    <w:rsid w:val="54836B1A"/>
    <w:rsid w:val="548C7EBB"/>
    <w:rsid w:val="54F2415C"/>
    <w:rsid w:val="5530F3EB"/>
    <w:rsid w:val="55691B40"/>
    <w:rsid w:val="55BDDCFD"/>
    <w:rsid w:val="55D628C5"/>
    <w:rsid w:val="55E030A4"/>
    <w:rsid w:val="5623131E"/>
    <w:rsid w:val="57196275"/>
    <w:rsid w:val="571BC866"/>
    <w:rsid w:val="5726BB00"/>
    <w:rsid w:val="57578696"/>
    <w:rsid w:val="5783EE1D"/>
    <w:rsid w:val="57907F96"/>
    <w:rsid w:val="57A3CA37"/>
    <w:rsid w:val="57E914DD"/>
    <w:rsid w:val="580E6FB6"/>
    <w:rsid w:val="5818968E"/>
    <w:rsid w:val="583937D7"/>
    <w:rsid w:val="587DDDBA"/>
    <w:rsid w:val="58A9F122"/>
    <w:rsid w:val="58C5E032"/>
    <w:rsid w:val="58DC1EDD"/>
    <w:rsid w:val="59100E30"/>
    <w:rsid w:val="5918EA42"/>
    <w:rsid w:val="5923842F"/>
    <w:rsid w:val="594F65C4"/>
    <w:rsid w:val="599814B8"/>
    <w:rsid w:val="59A7ED2C"/>
    <w:rsid w:val="59B41BB5"/>
    <w:rsid w:val="59C7A830"/>
    <w:rsid w:val="59E7563B"/>
    <w:rsid w:val="5A2ED961"/>
    <w:rsid w:val="5A8A5DE8"/>
    <w:rsid w:val="5AA4B4B8"/>
    <w:rsid w:val="5ABB30F1"/>
    <w:rsid w:val="5ABF1CB7"/>
    <w:rsid w:val="5AEE046D"/>
    <w:rsid w:val="5B0B30BC"/>
    <w:rsid w:val="5B10067C"/>
    <w:rsid w:val="5B3702A5"/>
    <w:rsid w:val="5B59105C"/>
    <w:rsid w:val="5C11F46F"/>
    <w:rsid w:val="5C40C457"/>
    <w:rsid w:val="5CBE42E2"/>
    <w:rsid w:val="5CCF2838"/>
    <w:rsid w:val="5CD0DED1"/>
    <w:rsid w:val="5CEB7B19"/>
    <w:rsid w:val="5D7D32DA"/>
    <w:rsid w:val="5D8BC71D"/>
    <w:rsid w:val="5D9C3B0B"/>
    <w:rsid w:val="5DA25181"/>
    <w:rsid w:val="5DA3D3D1"/>
    <w:rsid w:val="5DA9A69C"/>
    <w:rsid w:val="5DAEFE76"/>
    <w:rsid w:val="5DBA37E8"/>
    <w:rsid w:val="5DD91F43"/>
    <w:rsid w:val="5E20B5B0"/>
    <w:rsid w:val="5E34CAD7"/>
    <w:rsid w:val="5E69262A"/>
    <w:rsid w:val="5E91086E"/>
    <w:rsid w:val="5EC26C8F"/>
    <w:rsid w:val="5EF4A96F"/>
    <w:rsid w:val="5EF76F08"/>
    <w:rsid w:val="5F3A7B6B"/>
    <w:rsid w:val="5F51F55D"/>
    <w:rsid w:val="5F5DD05D"/>
    <w:rsid w:val="5F6262BB"/>
    <w:rsid w:val="5F81ED0D"/>
    <w:rsid w:val="5FA539E3"/>
    <w:rsid w:val="5FEDA2EE"/>
    <w:rsid w:val="5FF6EB67"/>
    <w:rsid w:val="60093D99"/>
    <w:rsid w:val="602A3D4F"/>
    <w:rsid w:val="60330E3E"/>
    <w:rsid w:val="6049AEE9"/>
    <w:rsid w:val="60749AF6"/>
    <w:rsid w:val="607EF58D"/>
    <w:rsid w:val="6089A33E"/>
    <w:rsid w:val="60E3A23A"/>
    <w:rsid w:val="6105D9A2"/>
    <w:rsid w:val="610B6FB9"/>
    <w:rsid w:val="613BDC28"/>
    <w:rsid w:val="614DFBEF"/>
    <w:rsid w:val="617B4808"/>
    <w:rsid w:val="61B898F0"/>
    <w:rsid w:val="61C5E58A"/>
    <w:rsid w:val="61DE73C0"/>
    <w:rsid w:val="61E84E65"/>
    <w:rsid w:val="620FF6FA"/>
    <w:rsid w:val="62141A7A"/>
    <w:rsid w:val="62552FB6"/>
    <w:rsid w:val="625D1A15"/>
    <w:rsid w:val="626E02FD"/>
    <w:rsid w:val="628586FF"/>
    <w:rsid w:val="6298956C"/>
    <w:rsid w:val="62A74E8C"/>
    <w:rsid w:val="62CAABA3"/>
    <w:rsid w:val="6315CAE3"/>
    <w:rsid w:val="63391A13"/>
    <w:rsid w:val="63507DEB"/>
    <w:rsid w:val="6361019D"/>
    <w:rsid w:val="637472A6"/>
    <w:rsid w:val="63ABE334"/>
    <w:rsid w:val="643B21A6"/>
    <w:rsid w:val="643EA79D"/>
    <w:rsid w:val="6445BF9B"/>
    <w:rsid w:val="645C4A48"/>
    <w:rsid w:val="646F09FA"/>
    <w:rsid w:val="648A1180"/>
    <w:rsid w:val="64B963CE"/>
    <w:rsid w:val="6534F2E2"/>
    <w:rsid w:val="6563AC42"/>
    <w:rsid w:val="656901CD"/>
    <w:rsid w:val="65A54854"/>
    <w:rsid w:val="65DA8DD3"/>
    <w:rsid w:val="65DBCDE0"/>
    <w:rsid w:val="65FB1C08"/>
    <w:rsid w:val="661D4CAE"/>
    <w:rsid w:val="662063FB"/>
    <w:rsid w:val="6628124A"/>
    <w:rsid w:val="6636F8E9"/>
    <w:rsid w:val="663B6A8E"/>
    <w:rsid w:val="666F4551"/>
    <w:rsid w:val="66BB4236"/>
    <w:rsid w:val="672833A2"/>
    <w:rsid w:val="6737CA5B"/>
    <w:rsid w:val="67449458"/>
    <w:rsid w:val="67464885"/>
    <w:rsid w:val="683E0793"/>
    <w:rsid w:val="689DBEC9"/>
    <w:rsid w:val="68AA2968"/>
    <w:rsid w:val="68AC323D"/>
    <w:rsid w:val="68B04333"/>
    <w:rsid w:val="68D82AD6"/>
    <w:rsid w:val="68DE3C6A"/>
    <w:rsid w:val="68F8FEAD"/>
    <w:rsid w:val="68FBAEF4"/>
    <w:rsid w:val="6902ABCE"/>
    <w:rsid w:val="6932EF08"/>
    <w:rsid w:val="695BA5D6"/>
    <w:rsid w:val="69CD8972"/>
    <w:rsid w:val="69D88BF8"/>
    <w:rsid w:val="69FA5D56"/>
    <w:rsid w:val="6A2334BB"/>
    <w:rsid w:val="6A4C527D"/>
    <w:rsid w:val="6A67616B"/>
    <w:rsid w:val="6A759472"/>
    <w:rsid w:val="6A7F9AF6"/>
    <w:rsid w:val="6ABDFE91"/>
    <w:rsid w:val="6B04F263"/>
    <w:rsid w:val="6B1B141F"/>
    <w:rsid w:val="6B28748C"/>
    <w:rsid w:val="6B4C5CCD"/>
    <w:rsid w:val="6B522316"/>
    <w:rsid w:val="6B5D304D"/>
    <w:rsid w:val="6B688024"/>
    <w:rsid w:val="6B975998"/>
    <w:rsid w:val="6BE45827"/>
    <w:rsid w:val="6BFCF811"/>
    <w:rsid w:val="6C15D551"/>
    <w:rsid w:val="6CC2D964"/>
    <w:rsid w:val="6D18EEC0"/>
    <w:rsid w:val="6D28B1AF"/>
    <w:rsid w:val="6D4221ED"/>
    <w:rsid w:val="6D46604E"/>
    <w:rsid w:val="6D4C85EE"/>
    <w:rsid w:val="6D616F43"/>
    <w:rsid w:val="6D906E17"/>
    <w:rsid w:val="6D9F0B7B"/>
    <w:rsid w:val="6DC1268F"/>
    <w:rsid w:val="6DD4E5A5"/>
    <w:rsid w:val="6E4E49F0"/>
    <w:rsid w:val="6E7F8640"/>
    <w:rsid w:val="6EA92265"/>
    <w:rsid w:val="6EB73EE5"/>
    <w:rsid w:val="6F20F4C3"/>
    <w:rsid w:val="6F225378"/>
    <w:rsid w:val="6F4CB84F"/>
    <w:rsid w:val="6F5E4D08"/>
    <w:rsid w:val="6F63EBED"/>
    <w:rsid w:val="7015C80E"/>
    <w:rsid w:val="70684EEA"/>
    <w:rsid w:val="707616BB"/>
    <w:rsid w:val="70A9682A"/>
    <w:rsid w:val="70C6764D"/>
    <w:rsid w:val="70E1E761"/>
    <w:rsid w:val="70F39ECE"/>
    <w:rsid w:val="70FBE98B"/>
    <w:rsid w:val="71422B22"/>
    <w:rsid w:val="71AC410A"/>
    <w:rsid w:val="71FA9F03"/>
    <w:rsid w:val="71FE7AD9"/>
    <w:rsid w:val="7230A43F"/>
    <w:rsid w:val="7233EF9F"/>
    <w:rsid w:val="72A2F47F"/>
    <w:rsid w:val="7347ADEE"/>
    <w:rsid w:val="7369173F"/>
    <w:rsid w:val="736DCF43"/>
    <w:rsid w:val="737D0546"/>
    <w:rsid w:val="73A87F83"/>
    <w:rsid w:val="73BB511D"/>
    <w:rsid w:val="73E88847"/>
    <w:rsid w:val="74320C67"/>
    <w:rsid w:val="74344BAB"/>
    <w:rsid w:val="74AABF25"/>
    <w:rsid w:val="74B10AAB"/>
    <w:rsid w:val="74B6AC50"/>
    <w:rsid w:val="74DFAB5F"/>
    <w:rsid w:val="7517EC3D"/>
    <w:rsid w:val="751FF4BC"/>
    <w:rsid w:val="757DFE22"/>
    <w:rsid w:val="75BF9072"/>
    <w:rsid w:val="75E7056B"/>
    <w:rsid w:val="761E0115"/>
    <w:rsid w:val="764DC040"/>
    <w:rsid w:val="7652578C"/>
    <w:rsid w:val="767D9D46"/>
    <w:rsid w:val="768E5B70"/>
    <w:rsid w:val="769336D1"/>
    <w:rsid w:val="769D5646"/>
    <w:rsid w:val="76ABD44E"/>
    <w:rsid w:val="76DE033F"/>
    <w:rsid w:val="7700B7DB"/>
    <w:rsid w:val="7717CCE3"/>
    <w:rsid w:val="775066A4"/>
    <w:rsid w:val="7752F365"/>
    <w:rsid w:val="77897AC4"/>
    <w:rsid w:val="77C87120"/>
    <w:rsid w:val="7800833B"/>
    <w:rsid w:val="7815D953"/>
    <w:rsid w:val="7825BE6A"/>
    <w:rsid w:val="78703599"/>
    <w:rsid w:val="78C724AA"/>
    <w:rsid w:val="78D7765D"/>
    <w:rsid w:val="79391A65"/>
    <w:rsid w:val="793FE89E"/>
    <w:rsid w:val="7998A178"/>
    <w:rsid w:val="799CD821"/>
    <w:rsid w:val="79B0240A"/>
    <w:rsid w:val="79E12D3C"/>
    <w:rsid w:val="79E2BC2C"/>
    <w:rsid w:val="79EC1740"/>
    <w:rsid w:val="79F0AEF5"/>
    <w:rsid w:val="79F2A21C"/>
    <w:rsid w:val="7A1105D8"/>
    <w:rsid w:val="7A140A27"/>
    <w:rsid w:val="7A472318"/>
    <w:rsid w:val="7A59EAC4"/>
    <w:rsid w:val="7A783407"/>
    <w:rsid w:val="7A9B4E12"/>
    <w:rsid w:val="7AE8BF47"/>
    <w:rsid w:val="7AFE0EC6"/>
    <w:rsid w:val="7B276EA0"/>
    <w:rsid w:val="7B35C805"/>
    <w:rsid w:val="7B3D1F70"/>
    <w:rsid w:val="7B7977B0"/>
    <w:rsid w:val="7B81A500"/>
    <w:rsid w:val="7BB8B5AD"/>
    <w:rsid w:val="7C4A0456"/>
    <w:rsid w:val="7C777E78"/>
    <w:rsid w:val="7C849C3E"/>
    <w:rsid w:val="7CA6685A"/>
    <w:rsid w:val="7CAC4411"/>
    <w:rsid w:val="7D1C793C"/>
    <w:rsid w:val="7D403CE2"/>
    <w:rsid w:val="7D616832"/>
    <w:rsid w:val="7D785A9A"/>
    <w:rsid w:val="7D8200BD"/>
    <w:rsid w:val="7D883F29"/>
    <w:rsid w:val="7DAD6EA2"/>
    <w:rsid w:val="7DB7363C"/>
    <w:rsid w:val="7DE3EFB4"/>
    <w:rsid w:val="7DE72ABD"/>
    <w:rsid w:val="7DFBDDE7"/>
    <w:rsid w:val="7E1DDEF8"/>
    <w:rsid w:val="7E44ECFC"/>
    <w:rsid w:val="7E868F4A"/>
    <w:rsid w:val="7F2664D3"/>
    <w:rsid w:val="7F490C11"/>
    <w:rsid w:val="7F4AFCD0"/>
    <w:rsid w:val="7F6CFA97"/>
    <w:rsid w:val="7FA756E3"/>
    <w:rsid w:val="7FDC2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CF135C44-6785-4566-B760-8D637482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5"/>
      </w:numPr>
      <w:spacing w:before="240" w:after="60"/>
      <w:outlineLvl w:val="5"/>
    </w:pPr>
    <w:rPr>
      <w:rFonts w:ascii="Calibri" w:hAnsi="Calibri"/>
      <w:b/>
      <w:bCs/>
      <w:szCs w:val="22"/>
    </w:rPr>
  </w:style>
  <w:style w:type="paragraph" w:styleId="Heading7">
    <w:name w:val="heading 7"/>
    <w:basedOn w:val="Normal"/>
    <w:next w:val="Normal"/>
    <w:pPr>
      <w:numPr>
        <w:ilvl w:val="6"/>
        <w:numId w:val="5"/>
      </w:numPr>
      <w:spacing w:before="240" w:after="60"/>
      <w:outlineLvl w:val="6"/>
    </w:pPr>
    <w:rPr>
      <w:rFonts w:ascii="Calibri" w:hAnsi="Calibri"/>
    </w:rPr>
  </w:style>
  <w:style w:type="paragraph" w:styleId="Heading8">
    <w:name w:val="heading 8"/>
    <w:basedOn w:val="Normal"/>
    <w:next w:val="Normal"/>
    <w:pPr>
      <w:numPr>
        <w:ilvl w:val="7"/>
        <w:numId w:val="5"/>
      </w:numPr>
      <w:spacing w:before="240" w:after="60"/>
      <w:outlineLvl w:val="7"/>
    </w:pPr>
    <w:rPr>
      <w:rFonts w:ascii="Calibri" w:hAnsi="Calibri"/>
      <w:i/>
      <w:iCs/>
    </w:rPr>
  </w:style>
  <w:style w:type="paragraph" w:styleId="Heading9">
    <w:name w:val="heading 9"/>
    <w:basedOn w:val="Normal"/>
    <w:next w:val="Normal"/>
    <w:pPr>
      <w:numPr>
        <w:ilvl w:val="8"/>
        <w:numId w:val="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5"/>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contextualSpacing/>
    </w:pPr>
  </w:style>
  <w:style w:type="paragraph" w:styleId="ListParagraph">
    <w:name w:val="List Paragraph"/>
    <w:basedOn w:val="Normal"/>
    <w:pPr>
      <w:numPr>
        <w:numId w:val="12"/>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contextualSpacing/>
    </w:pPr>
  </w:style>
  <w:style w:type="paragraph" w:customStyle="1" w:styleId="DfESOutNumbered">
    <w:name w:val="DfESOutNumbered"/>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5"/>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 w:type="numbering" w:customStyle="1" w:styleId="LFO34">
    <w:name w:val="LFO34"/>
    <w:basedOn w:val="NoList"/>
    <w:pPr>
      <w:numPr>
        <w:numId w:val="15"/>
      </w:numPr>
    </w:pPr>
  </w:style>
  <w:style w:type="numbering" w:customStyle="1" w:styleId="LFO36">
    <w:name w:val="LFO36"/>
    <w:basedOn w:val="NoList"/>
    <w:pPr>
      <w:numPr>
        <w:numId w:val="16"/>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aspiration-interven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reading-comprehension-strateg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s://educationendowmentfoundation.org.uk/education-evidence/teaching-learning-toolkit/one-to-one-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J Stammers</cp:lastModifiedBy>
  <cp:revision>2</cp:revision>
  <cp:lastPrinted>2024-03-01T17:13:00Z</cp:lastPrinted>
  <dcterms:created xsi:type="dcterms:W3CDTF">2026-02-11T08:05:00Z</dcterms:created>
  <dcterms:modified xsi:type="dcterms:W3CDTF">2026-02-11T08:05:00Z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